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BE363D" w:rsidRDefault="001D6D33" w:rsidP="002B68A6">
      <w:pPr>
        <w:pStyle w:val="Default"/>
        <w:rPr>
          <w:rFonts w:eastAsia="SimSun"/>
          <w:b/>
          <w:lang w:eastAsia="zh-CN"/>
        </w:rPr>
      </w:pPr>
      <w:r w:rsidRPr="00BE363D">
        <w:rPr>
          <w:rFonts w:eastAsia="SimSun"/>
          <w:b/>
          <w:lang w:eastAsia="zh-CN"/>
        </w:rPr>
        <w:t>NASTAVNI ZAVOD ZA JAVNO ZDRAVSTVO</w:t>
      </w:r>
    </w:p>
    <w:p w14:paraId="7C43FF6C" w14:textId="5C1C24C9" w:rsidR="001D6D33" w:rsidRPr="00BE363D" w:rsidRDefault="001D6D33" w:rsidP="001D6D33">
      <w:pPr>
        <w:rPr>
          <w:rFonts w:ascii="Arial" w:eastAsia="SimSun" w:hAnsi="Arial" w:cs="Arial"/>
          <w:b/>
          <w:bCs/>
          <w:lang w:eastAsia="zh-CN"/>
        </w:rPr>
      </w:pPr>
      <w:r w:rsidRPr="00BE363D">
        <w:rPr>
          <w:rFonts w:ascii="Arial" w:eastAsia="SimSun" w:hAnsi="Arial" w:cs="Arial"/>
          <w:b/>
          <w:bCs/>
          <w:lang w:eastAsia="zh-CN"/>
        </w:rPr>
        <w:t>PRIMORSKO</w:t>
      </w:r>
      <w:r w:rsidR="00286074" w:rsidRPr="00BE363D">
        <w:rPr>
          <w:rFonts w:ascii="Arial" w:eastAsia="SimSun" w:hAnsi="Arial" w:cs="Arial"/>
          <w:b/>
          <w:bCs/>
          <w:lang w:eastAsia="zh-CN"/>
        </w:rPr>
        <w:t>-</w:t>
      </w:r>
      <w:r w:rsidRPr="00BE363D">
        <w:rPr>
          <w:rFonts w:ascii="Arial" w:eastAsia="SimSun" w:hAnsi="Arial" w:cs="Arial"/>
          <w:b/>
          <w:bCs/>
          <w:lang w:eastAsia="zh-CN"/>
        </w:rPr>
        <w:t>GORANSKE ŽUPANIJE</w:t>
      </w:r>
    </w:p>
    <w:p w14:paraId="57AAD834" w14:textId="77777777" w:rsidR="001D6D33" w:rsidRPr="00BE363D" w:rsidRDefault="001D6D33" w:rsidP="001D6D33">
      <w:pPr>
        <w:rPr>
          <w:rFonts w:ascii="Arial" w:eastAsia="SimSun" w:hAnsi="Arial" w:cs="Arial"/>
          <w:b/>
          <w:bCs/>
          <w:lang w:eastAsia="zh-CN"/>
        </w:rPr>
      </w:pPr>
      <w:r w:rsidRPr="00BE363D">
        <w:rPr>
          <w:rFonts w:ascii="Arial" w:eastAsia="SimSun" w:hAnsi="Arial" w:cs="Arial"/>
          <w:b/>
          <w:bCs/>
          <w:lang w:eastAsia="zh-CN"/>
        </w:rPr>
        <w:t xml:space="preserve">Krešimirova 52a </w:t>
      </w:r>
    </w:p>
    <w:p w14:paraId="533BB63B" w14:textId="2C129C7D" w:rsidR="001D6D33" w:rsidRPr="00BE363D" w:rsidRDefault="001D6D33" w:rsidP="001D6D33">
      <w:pPr>
        <w:rPr>
          <w:rFonts w:ascii="Arial" w:eastAsia="SimSun" w:hAnsi="Arial" w:cs="Arial"/>
          <w:b/>
          <w:bCs/>
          <w:lang w:eastAsia="zh-CN"/>
        </w:rPr>
      </w:pPr>
      <w:r w:rsidRPr="00BE363D">
        <w:rPr>
          <w:rFonts w:ascii="Arial" w:eastAsia="SimSun" w:hAnsi="Arial" w:cs="Arial"/>
          <w:b/>
          <w:bCs/>
          <w:lang w:eastAsia="zh-CN"/>
        </w:rPr>
        <w:t>51000 Rijeka</w:t>
      </w:r>
    </w:p>
    <w:p w14:paraId="610A25AD" w14:textId="7AC5A665" w:rsidR="00883477" w:rsidRPr="00BE363D" w:rsidRDefault="00883477" w:rsidP="001D6D33">
      <w:pPr>
        <w:rPr>
          <w:rFonts w:ascii="Arial" w:eastAsia="SimSun" w:hAnsi="Arial" w:cs="Arial"/>
          <w:b/>
          <w:bCs/>
          <w:lang w:eastAsia="zh-CN"/>
        </w:rPr>
      </w:pPr>
      <w:r w:rsidRPr="00BE363D">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61D80939" w:rsidR="00B43252" w:rsidRDefault="008C4C54" w:rsidP="00424BED">
      <w:pPr>
        <w:rPr>
          <w:rFonts w:ascii="Arial" w:hAnsi="Arial" w:cs="Arial"/>
        </w:rPr>
      </w:pPr>
      <w:r>
        <w:rPr>
          <w:rFonts w:ascii="Arial" w:hAnsi="Arial" w:cs="Arial"/>
        </w:rPr>
        <w:t xml:space="preserve">Broj: </w:t>
      </w:r>
      <w:r w:rsidR="00C02B1E">
        <w:rPr>
          <w:rFonts w:ascii="Arial" w:hAnsi="Arial" w:cs="Arial"/>
        </w:rPr>
        <w:t>2</w:t>
      </w:r>
      <w:r w:rsidR="00B43252">
        <w:rPr>
          <w:rFonts w:ascii="Arial" w:hAnsi="Arial" w:cs="Arial"/>
        </w:rPr>
        <w:t>-MV-202</w:t>
      </w:r>
      <w:r w:rsidR="006253A7">
        <w:rPr>
          <w:rFonts w:ascii="Arial" w:hAnsi="Arial" w:cs="Arial"/>
        </w:rPr>
        <w:t>6</w:t>
      </w:r>
      <w:r w:rsidR="00B43252">
        <w:rPr>
          <w:rFonts w:ascii="Arial" w:hAnsi="Arial" w:cs="Arial"/>
        </w:rPr>
        <w:t>/2</w:t>
      </w:r>
    </w:p>
    <w:p w14:paraId="63D6D312" w14:textId="20BF9151" w:rsidR="00424BED" w:rsidRDefault="00424BED" w:rsidP="00474BE8">
      <w:pPr>
        <w:tabs>
          <w:tab w:val="left" w:pos="2940"/>
        </w:tabs>
        <w:rPr>
          <w:rFonts w:ascii="Arial" w:hAnsi="Arial" w:cs="Arial"/>
        </w:rPr>
      </w:pPr>
      <w:r w:rsidRPr="00A34EF9">
        <w:rPr>
          <w:rFonts w:ascii="Arial" w:hAnsi="Arial" w:cs="Arial"/>
        </w:rPr>
        <w:t xml:space="preserve">Rijeka, </w:t>
      </w:r>
      <w:r w:rsidR="006253A7">
        <w:rPr>
          <w:rFonts w:ascii="Arial" w:hAnsi="Arial" w:cs="Arial"/>
        </w:rPr>
        <w:t>2</w:t>
      </w:r>
      <w:r w:rsidR="0071368E">
        <w:rPr>
          <w:rFonts w:ascii="Arial" w:hAnsi="Arial" w:cs="Arial"/>
        </w:rPr>
        <w:t>8</w:t>
      </w:r>
      <w:r w:rsidR="00B43252">
        <w:rPr>
          <w:rFonts w:ascii="Arial" w:hAnsi="Arial" w:cs="Arial"/>
        </w:rPr>
        <w:t>.11.202</w:t>
      </w:r>
      <w:r w:rsidR="006253A7">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64511D11" w14:textId="59ECC72C" w:rsidR="006253A7" w:rsidRDefault="006253A7" w:rsidP="006253A7">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w:t>
      </w:r>
      <w:r w:rsidR="0071368E">
        <w:rPr>
          <w:rFonts w:ascii="Arial" w:eastAsia="SimSun" w:hAnsi="Arial" w:cs="Arial"/>
          <w:lang w:eastAsia="zh-CN"/>
        </w:rPr>
        <w:t>8</w:t>
      </w:r>
      <w:r>
        <w:rPr>
          <w:rFonts w:ascii="Arial" w:eastAsia="SimSun" w:hAnsi="Arial" w:cs="Arial"/>
          <w:lang w:eastAsia="zh-CN"/>
        </w:rPr>
        <w:t>.11</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01851443"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6253A7">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4ADCD1B7" w:rsidR="00424BED" w:rsidRPr="00905995" w:rsidRDefault="00424BED" w:rsidP="00424BED">
      <w:pPr>
        <w:rPr>
          <w:rFonts w:ascii="Arial" w:hAnsi="Arial" w:cs="Arial"/>
        </w:rPr>
      </w:pPr>
      <w:r w:rsidRPr="00905995">
        <w:rPr>
          <w:rFonts w:ascii="Arial" w:hAnsi="Arial" w:cs="Arial"/>
        </w:rPr>
        <w:t xml:space="preserve">Kontakt osoba: </w:t>
      </w:r>
      <w:r w:rsidR="0081160A">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0C46CDB"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6253A7">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69D26345"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C02B1E">
        <w:rPr>
          <w:rFonts w:ascii="Arial" w:hAnsi="Arial" w:cs="Arial"/>
          <w:b w:val="0"/>
          <w:bCs w:val="0"/>
          <w:lang w:val="hr-HR"/>
        </w:rPr>
        <w:t>2</w:t>
      </w:r>
      <w:r w:rsidR="001B6B5E" w:rsidRPr="00883477">
        <w:rPr>
          <w:rFonts w:ascii="Arial" w:hAnsi="Arial" w:cs="Arial"/>
          <w:b w:val="0"/>
          <w:bCs w:val="0"/>
          <w:lang w:val="hr-HR"/>
        </w:rPr>
        <w:t>-MV-202</w:t>
      </w:r>
      <w:r w:rsidR="006253A7">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7A5D0B6" w:rsidR="002B68A6" w:rsidRPr="002B68A6" w:rsidRDefault="00C02B1E"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18.500</w:t>
      </w:r>
      <w:r w:rsidR="002B68A6" w:rsidRPr="002B68A6">
        <w:rPr>
          <w:rFonts w:ascii="Arial" w:hAnsi="Arial" w:cs="Arial"/>
          <w:bCs/>
          <w:iCs/>
        </w:rPr>
        <w:t>,00 eura (bez PDV-a).</w:t>
      </w:r>
    </w:p>
    <w:p w14:paraId="40F6F3E8" w14:textId="4E63B495" w:rsidR="008B4BAD" w:rsidRDefault="00C02B1E"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Dozvoljeno je nuđenje po grupama, i to:</w:t>
      </w:r>
    </w:p>
    <w:p w14:paraId="22A2F67A" w14:textId="435F2F21" w:rsidR="00C02B1E" w:rsidRDefault="00C02B1E" w:rsidP="00C02B1E">
      <w:pPr>
        <w:autoSpaceDE w:val="0"/>
        <w:autoSpaceDN w:val="0"/>
        <w:adjustRightInd w:val="0"/>
        <w:spacing w:line="276" w:lineRule="auto"/>
        <w:jc w:val="both"/>
        <w:rPr>
          <w:rFonts w:ascii="Arial" w:hAnsi="Arial" w:cs="Arial"/>
          <w:bCs/>
          <w:iCs/>
        </w:rPr>
      </w:pPr>
      <w:r>
        <w:rPr>
          <w:rFonts w:ascii="Arial" w:hAnsi="Arial" w:cs="Arial"/>
          <w:bCs/>
          <w:iCs/>
        </w:rPr>
        <w:t>1. grupa: Materijal za čišćenje: 5.</w:t>
      </w:r>
      <w:r w:rsidR="00115B11">
        <w:rPr>
          <w:rFonts w:ascii="Arial" w:hAnsi="Arial" w:cs="Arial"/>
          <w:bCs/>
          <w:iCs/>
        </w:rPr>
        <w:t>0</w:t>
      </w:r>
      <w:r>
        <w:rPr>
          <w:rFonts w:ascii="Arial" w:hAnsi="Arial" w:cs="Arial"/>
          <w:bCs/>
          <w:iCs/>
        </w:rPr>
        <w:t>00,00 eura (bez PDV-a)</w:t>
      </w:r>
    </w:p>
    <w:p w14:paraId="4A4AE65F" w14:textId="2CCE31BE" w:rsidR="00C02B1E" w:rsidRPr="00C02B1E" w:rsidRDefault="00C02B1E" w:rsidP="00C02B1E">
      <w:pPr>
        <w:autoSpaceDE w:val="0"/>
        <w:autoSpaceDN w:val="0"/>
        <w:adjustRightInd w:val="0"/>
        <w:spacing w:line="276" w:lineRule="auto"/>
        <w:jc w:val="both"/>
        <w:rPr>
          <w:rFonts w:ascii="Arial" w:hAnsi="Arial" w:cs="Arial"/>
          <w:bCs/>
          <w:iCs/>
        </w:rPr>
      </w:pPr>
      <w:r>
        <w:rPr>
          <w:rFonts w:ascii="Arial" w:hAnsi="Arial" w:cs="Arial"/>
          <w:bCs/>
          <w:iCs/>
        </w:rPr>
        <w:t>2. grupa: Materijal za dispenzore: 1</w:t>
      </w:r>
      <w:r w:rsidR="00115B11">
        <w:rPr>
          <w:rFonts w:ascii="Arial" w:hAnsi="Arial" w:cs="Arial"/>
          <w:bCs/>
          <w:iCs/>
        </w:rPr>
        <w:t>3</w:t>
      </w:r>
      <w:r>
        <w:rPr>
          <w:rFonts w:ascii="Arial" w:hAnsi="Arial" w:cs="Arial"/>
          <w:bCs/>
          <w:iCs/>
        </w:rPr>
        <w:t>.</w:t>
      </w:r>
      <w:r w:rsidR="00115B11">
        <w:rPr>
          <w:rFonts w:ascii="Arial" w:hAnsi="Arial" w:cs="Arial"/>
          <w:bCs/>
          <w:iCs/>
        </w:rPr>
        <w:t>5</w:t>
      </w:r>
      <w:r>
        <w:rPr>
          <w:rFonts w:ascii="Arial" w:hAnsi="Arial" w:cs="Arial"/>
          <w:bCs/>
          <w:iCs/>
        </w:rPr>
        <w:t>00,00 eura (bez PDV-a)</w:t>
      </w:r>
    </w:p>
    <w:p w14:paraId="13BC8F3E" w14:textId="012B3067" w:rsidR="002B68A6" w:rsidRPr="002B68A6" w:rsidRDefault="002B68A6" w:rsidP="002B68A6"/>
    <w:p w14:paraId="361D868F" w14:textId="5C484545"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8B4BAD">
        <w:rPr>
          <w:rFonts w:ascii="Arial" w:hAnsi="Arial" w:cs="Arial"/>
        </w:rPr>
        <w:t>roba.</w:t>
      </w:r>
    </w:p>
    <w:p w14:paraId="25BFF710" w14:textId="77777777" w:rsidR="00424BED" w:rsidRDefault="00424BED" w:rsidP="00424BED">
      <w:pPr>
        <w:jc w:val="both"/>
        <w:rPr>
          <w:rFonts w:ascii="Arial" w:hAnsi="Arial" w:cs="Arial"/>
          <w:b/>
        </w:rPr>
      </w:pPr>
    </w:p>
    <w:p w14:paraId="51E26836" w14:textId="20D38409" w:rsid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728C0B34" w:rsidR="001B6B5E" w:rsidRPr="00115B11" w:rsidRDefault="00115B11" w:rsidP="00115B11">
      <w:pPr>
        <w:pStyle w:val="ListParagraph"/>
        <w:ind w:left="1080"/>
        <w:jc w:val="both"/>
        <w:rPr>
          <w:rFonts w:ascii="Arial" w:hAnsi="Arial" w:cs="Arial"/>
          <w:bCs/>
        </w:rPr>
      </w:pPr>
      <w:r>
        <w:rPr>
          <w:rFonts w:ascii="Arial" w:hAnsi="Arial" w:cs="Arial"/>
          <w:bCs/>
        </w:rPr>
        <w:t>Navedeno na web stranici NZZJZ PGŽ.</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8CE4AC9"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C02B1E">
        <w:rPr>
          <w:rFonts w:ascii="Arial" w:hAnsi="Arial" w:cs="Arial"/>
          <w:b w:val="0"/>
          <w:bCs w:val="0"/>
          <w:lang w:val="hr-HR"/>
        </w:rPr>
        <w:t>Materijal za čišćenje i materijal za dispenzore</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58417E88"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 robe:</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2FED9CCD" w:rsidR="00474BE8" w:rsidRPr="00474BE8" w:rsidRDefault="00474BE8" w:rsidP="00474BE8">
      <w:pPr>
        <w:ind w:left="360"/>
        <w:jc w:val="both"/>
        <w:rPr>
          <w:rFonts w:ascii="Arial" w:hAnsi="Arial" w:cs="Arial"/>
        </w:rPr>
      </w:pPr>
      <w:r w:rsidRPr="00474BE8">
        <w:rPr>
          <w:rFonts w:ascii="Arial" w:hAnsi="Arial" w:cs="Arial"/>
        </w:rPr>
        <w:t>Roba će se naručivati postupno tijekom 202</w:t>
      </w:r>
      <w:r w:rsidR="006253A7">
        <w:rPr>
          <w:rFonts w:ascii="Arial" w:hAnsi="Arial" w:cs="Arial"/>
        </w:rPr>
        <w:t>6</w:t>
      </w:r>
      <w:r w:rsidRPr="00474BE8">
        <w:rPr>
          <w:rFonts w:ascii="Arial" w:hAnsi="Arial" w:cs="Arial"/>
        </w:rPr>
        <w:t>. godine, a dinamika isporuke i stvarne količine biti će dogovorene pojedinačnim narudžbama naručitelja tijekom godine. Količina predmeta nabave navedena u troškovniku iz priloga broj 3 i broj 4 je okvirna.</w:t>
      </w:r>
    </w:p>
    <w:p w14:paraId="3115A5B5" w14:textId="77777777" w:rsidR="00474BE8" w:rsidRPr="00474BE8" w:rsidRDefault="00474BE8" w:rsidP="00474BE8">
      <w:pPr>
        <w:pStyle w:val="ListParagraph"/>
        <w:ind w:left="1080"/>
      </w:pPr>
    </w:p>
    <w:p w14:paraId="2AE84F56" w14:textId="5FBF5DFD"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6253A7">
        <w:rPr>
          <w:rFonts w:ascii="Arial" w:hAnsi="Arial" w:cs="Arial"/>
          <w:b w:val="0"/>
          <w:bCs w:val="0"/>
          <w:lang w:val="hr-HR"/>
        </w:rPr>
        <w:t>6</w:t>
      </w:r>
      <w:r w:rsidR="00AF705B">
        <w:rPr>
          <w:rFonts w:ascii="Arial" w:hAnsi="Arial" w:cs="Arial"/>
          <w:b w:val="0"/>
          <w:bCs w:val="0"/>
          <w:lang w:val="hr-HR"/>
        </w:rPr>
        <w:t>.</w:t>
      </w:r>
    </w:p>
    <w:p w14:paraId="7584248D" w14:textId="5EEE027B"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6253A7">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55DCFC61"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115B11">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40C10D6D" w14:textId="77777777" w:rsidR="00E97C41" w:rsidRDefault="00E97C41" w:rsidP="00424BED">
      <w:pPr>
        <w:tabs>
          <w:tab w:val="num" w:pos="-426"/>
        </w:tabs>
        <w:jc w:val="both"/>
        <w:rPr>
          <w:rFonts w:ascii="Arial" w:hAnsi="Arial" w:cs="Arial"/>
        </w:rPr>
      </w:pPr>
    </w:p>
    <w:p w14:paraId="5A1D4B06" w14:textId="4414DF95" w:rsidR="00E97C41" w:rsidRDefault="00E97C41" w:rsidP="00424BED">
      <w:pPr>
        <w:tabs>
          <w:tab w:val="num" w:pos="-426"/>
        </w:tabs>
        <w:jc w:val="both"/>
        <w:rPr>
          <w:rFonts w:ascii="Arial" w:hAnsi="Arial" w:cs="Arial"/>
        </w:rPr>
      </w:pPr>
      <w:r>
        <w:rPr>
          <w:rFonts w:ascii="Arial" w:hAnsi="Arial" w:cs="Arial"/>
        </w:rPr>
        <w:t>Ponuditelj može dostaviti ponudu za jednu grupu ili za obje grupe.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Default="008F5FF4" w:rsidP="00424BED">
      <w:pPr>
        <w:autoSpaceDE w:val="0"/>
        <w:autoSpaceDN w:val="0"/>
        <w:adjustRightInd w:val="0"/>
        <w:spacing w:after="120"/>
        <w:ind w:right="-284"/>
        <w:contextualSpacing/>
        <w:jc w:val="both"/>
        <w:rPr>
          <w:rFonts w:ascii="Arial" w:hAnsi="Arial" w:cs="Arial"/>
        </w:rPr>
      </w:pPr>
    </w:p>
    <w:p w14:paraId="41C6E763" w14:textId="77777777" w:rsidR="00E97C41" w:rsidRDefault="00E97C41" w:rsidP="00424BED">
      <w:pPr>
        <w:autoSpaceDE w:val="0"/>
        <w:autoSpaceDN w:val="0"/>
        <w:adjustRightInd w:val="0"/>
        <w:spacing w:after="120"/>
        <w:ind w:right="-284"/>
        <w:contextualSpacing/>
        <w:jc w:val="both"/>
        <w:rPr>
          <w:rFonts w:ascii="Arial" w:hAnsi="Arial" w:cs="Arial"/>
        </w:rPr>
      </w:pPr>
    </w:p>
    <w:p w14:paraId="73692E60" w14:textId="77777777" w:rsidR="00E97C41" w:rsidRPr="0081061F" w:rsidRDefault="00E97C41"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lastRenderedPageBreak/>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35595B1E"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E97C41">
        <w:rPr>
          <w:rFonts w:ascii="Arial" w:hAnsi="Arial" w:cs="Arial"/>
        </w:rPr>
        <w:t>i /ili Prilog 4.</w:t>
      </w:r>
      <w:r w:rsidR="00EA5763">
        <w:rPr>
          <w:rFonts w:ascii="Arial" w:hAnsi="Arial" w:cs="Arial"/>
        </w:rPr>
        <w:t>)</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 xml:space="preserve">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w:t>
      </w:r>
      <w:r w:rsidRPr="00283957">
        <w:rPr>
          <w:rFonts w:ascii="Arial" w:hAnsi="Arial" w:cs="Arial"/>
        </w:rPr>
        <w:lastRenderedPageBreak/>
        <w:t>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68BBB1F5" w:rsidR="00424BED" w:rsidRPr="00283957" w:rsidRDefault="00424BED" w:rsidP="00424BED">
      <w:pPr>
        <w:ind w:left="708"/>
        <w:jc w:val="center"/>
        <w:rPr>
          <w:rFonts w:ascii="Arial" w:hAnsi="Arial" w:cs="Arial"/>
          <w:b/>
          <w:bCs/>
          <w:iCs/>
        </w:rPr>
      </w:pPr>
      <w:r w:rsidRPr="00283957">
        <w:rPr>
          <w:rFonts w:ascii="Arial" w:hAnsi="Arial" w:cs="Arial"/>
          <w:b/>
          <w:bCs/>
          <w:iCs/>
        </w:rPr>
        <w:t>„</w:t>
      </w:r>
      <w:r w:rsidR="00C02B1E">
        <w:rPr>
          <w:rFonts w:ascii="Arial" w:hAnsi="Arial" w:cs="Arial"/>
          <w:b/>
          <w:bCs/>
          <w:iCs/>
        </w:rPr>
        <w:t>Materijal za čišćenje i materijal za dispenzore</w:t>
      </w:r>
      <w:r w:rsidR="002B68A6">
        <w:rPr>
          <w:rFonts w:ascii="Arial" w:hAnsi="Arial" w:cs="Arial"/>
          <w:b/>
          <w:bCs/>
          <w:iCs/>
        </w:rPr>
        <w:t>,</w:t>
      </w:r>
    </w:p>
    <w:p w14:paraId="744002EC" w14:textId="580C05E9"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C02B1E">
        <w:rPr>
          <w:rFonts w:ascii="Arial" w:hAnsi="Arial" w:cs="Arial"/>
          <w:b/>
          <w:iCs/>
        </w:rPr>
        <w:t>2</w:t>
      </w:r>
      <w:r w:rsidR="008B002E">
        <w:rPr>
          <w:rFonts w:ascii="Arial" w:hAnsi="Arial" w:cs="Arial"/>
          <w:b/>
          <w:iCs/>
        </w:rPr>
        <w:t>-MV-202</w:t>
      </w:r>
      <w:r w:rsidR="006253A7">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41F7FAC"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115B1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Pr="00E97C41"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w:t>
      </w:r>
      <w:r w:rsidRPr="00D96670">
        <w:rPr>
          <w:rFonts w:ascii="Arial" w:hAnsi="Arial" w:cs="Arial"/>
        </w:rPr>
        <w:lastRenderedPageBreak/>
        <w:t>ili publikacija i sl. na stranom jeziku te koristiti međunarodno priznat izričaj, odnosno tzv. internacionalizme, tuđe riječi i prilagođenice.</w:t>
      </w: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086D615C"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6253A7">
        <w:rPr>
          <w:rFonts w:ascii="Arial" w:hAnsi="Arial" w:cs="Arial"/>
          <w:b/>
          <w:bCs/>
        </w:rPr>
        <w:t>0</w:t>
      </w:r>
      <w:r w:rsidR="005F2831">
        <w:rPr>
          <w:rFonts w:ascii="Arial" w:hAnsi="Arial" w:cs="Arial"/>
          <w:b/>
          <w:bCs/>
        </w:rPr>
        <w:t>9</w:t>
      </w:r>
      <w:r w:rsidR="002B68A6">
        <w:rPr>
          <w:rFonts w:ascii="Arial" w:hAnsi="Arial" w:cs="Arial"/>
          <w:b/>
          <w:bCs/>
        </w:rPr>
        <w:t>.</w:t>
      </w:r>
      <w:r w:rsidR="008B002E">
        <w:rPr>
          <w:rFonts w:ascii="Arial" w:hAnsi="Arial" w:cs="Arial"/>
          <w:b/>
          <w:bCs/>
        </w:rPr>
        <w:t>1</w:t>
      </w:r>
      <w:r w:rsidR="006253A7">
        <w:rPr>
          <w:rFonts w:ascii="Arial" w:hAnsi="Arial" w:cs="Arial"/>
          <w:b/>
          <w:bCs/>
        </w:rPr>
        <w:t>2</w:t>
      </w:r>
      <w:r w:rsidR="008B002E">
        <w:rPr>
          <w:rFonts w:ascii="Arial" w:hAnsi="Arial" w:cs="Arial"/>
          <w:b/>
          <w:bCs/>
        </w:rPr>
        <w:t>.202</w:t>
      </w:r>
      <w:r w:rsidR="006253A7">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6253A7">
        <w:rPr>
          <w:rFonts w:ascii="Arial" w:hAnsi="Arial" w:cs="Arial"/>
          <w:b/>
          <w:bCs/>
        </w:rPr>
        <w:t>11</w:t>
      </w:r>
      <w:r w:rsidRPr="004E03D4">
        <w:rPr>
          <w:rFonts w:ascii="Arial" w:hAnsi="Arial" w:cs="Arial"/>
          <w:b/>
          <w:bCs/>
        </w:rPr>
        <w:t>:</w:t>
      </w:r>
      <w:r w:rsidR="008B002E">
        <w:rPr>
          <w:rFonts w:ascii="Arial" w:hAnsi="Arial" w:cs="Arial"/>
          <w:b/>
          <w:bCs/>
        </w:rPr>
        <w:t>00</w:t>
      </w:r>
      <w:r w:rsidR="00810D4C">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191A0991"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115B11">
        <w:rPr>
          <w:rFonts w:ascii="Arial" w:hAnsi="Arial" w:cs="Arial"/>
        </w:rPr>
        <w:t>60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495F5FB9" w14:textId="2A682593" w:rsidR="005572EE" w:rsidRPr="005A0A1E" w:rsidRDefault="005572EE" w:rsidP="00424BED">
      <w:pPr>
        <w:numPr>
          <w:ilvl w:val="0"/>
          <w:numId w:val="3"/>
        </w:numPr>
        <w:jc w:val="both"/>
        <w:rPr>
          <w:rFonts w:ascii="Arial" w:hAnsi="Arial" w:cs="Arial"/>
        </w:rPr>
      </w:pPr>
      <w:r>
        <w:rPr>
          <w:rFonts w:ascii="Arial" w:hAnsi="Arial" w:cs="Arial"/>
        </w:rPr>
        <w:t>Troškovnik (Prilog 4.)</w:t>
      </w:r>
    </w:p>
    <w:p w14:paraId="6B70F9DD" w14:textId="558DBBB4" w:rsidR="00424BED" w:rsidRDefault="00424BED" w:rsidP="00424BED">
      <w:pPr>
        <w:rPr>
          <w:highlight w:val="yellow"/>
        </w:rPr>
      </w:pPr>
    </w:p>
    <w:p w14:paraId="3966D4AA" w14:textId="38F9434B" w:rsidR="002A2DB9" w:rsidRDefault="002A2DB9" w:rsidP="00424BED">
      <w:pPr>
        <w:rPr>
          <w:highlight w:val="yellow"/>
        </w:rPr>
      </w:pPr>
    </w:p>
    <w:p w14:paraId="4D975D4D" w14:textId="42E330A2" w:rsidR="002A2DB9" w:rsidRDefault="002A2DB9" w:rsidP="00424BED">
      <w:pPr>
        <w:rPr>
          <w:highlight w:val="yellow"/>
        </w:rPr>
      </w:pPr>
    </w:p>
    <w:p w14:paraId="20CD92A4" w14:textId="097F649D" w:rsidR="002A2DB9" w:rsidRDefault="002A2DB9" w:rsidP="00424BED">
      <w:pPr>
        <w:rPr>
          <w:highlight w:val="yellow"/>
        </w:rPr>
      </w:pPr>
    </w:p>
    <w:p w14:paraId="77439600" w14:textId="76DE7C53" w:rsidR="002A2DB9" w:rsidRDefault="002A2DB9" w:rsidP="00424BED">
      <w:pPr>
        <w:rPr>
          <w:highlight w:val="yellow"/>
        </w:rPr>
      </w:pPr>
    </w:p>
    <w:p w14:paraId="505485F2" w14:textId="77777777" w:rsidR="002A2DB9" w:rsidRPr="003F51E1" w:rsidRDefault="002A2DB9" w:rsidP="00424BED">
      <w:pPr>
        <w:rPr>
          <w:highlight w:val="yellow"/>
        </w:rPr>
      </w:pPr>
    </w:p>
    <w:p w14:paraId="01455B66" w14:textId="77777777" w:rsidR="002A2DB9" w:rsidRDefault="00424BED" w:rsidP="002A2DB9">
      <w:pPr>
        <w:ind w:firstLine="708"/>
        <w:rPr>
          <w:rFonts w:ascii="Arial" w:hAnsi="Arial" w:cs="Arial"/>
          <w:bCs/>
        </w:rPr>
      </w:pPr>
      <w:r w:rsidRPr="006253A7">
        <w:rPr>
          <w:rFonts w:ascii="Arial" w:hAnsi="Arial" w:cs="Arial"/>
          <w:bCs/>
        </w:rPr>
        <w:lastRenderedPageBreak/>
        <w:t xml:space="preserve">                                    </w:t>
      </w:r>
    </w:p>
    <w:p w14:paraId="28741F78" w14:textId="73616901" w:rsidR="002A2DB9" w:rsidRDefault="002A2DB9" w:rsidP="002A2DB9">
      <w:pPr>
        <w:ind w:firstLine="708"/>
        <w:rPr>
          <w:rFonts w:ascii="Arial" w:hAnsi="Arial" w:cs="Arial"/>
          <w:bCs/>
        </w:rPr>
      </w:pPr>
      <w:r>
        <w:rPr>
          <w:rFonts w:ascii="Arial" w:hAnsi="Arial" w:cs="Arial"/>
          <w:bCs/>
        </w:rPr>
        <w:t xml:space="preserve">                                      </w:t>
      </w:r>
      <w:r w:rsidR="00424BED" w:rsidRPr="006253A7">
        <w:rPr>
          <w:rFonts w:ascii="Arial" w:hAnsi="Arial" w:cs="Arial"/>
          <w:bCs/>
        </w:rPr>
        <w:t xml:space="preserve">                                                </w:t>
      </w:r>
      <w:r w:rsidR="002E09C2" w:rsidRPr="006253A7">
        <w:rPr>
          <w:rFonts w:ascii="Arial" w:hAnsi="Arial" w:cs="Arial"/>
          <w:bCs/>
        </w:rPr>
        <w:t>R</w:t>
      </w:r>
      <w:r>
        <w:rPr>
          <w:rFonts w:ascii="Arial" w:hAnsi="Arial" w:cs="Arial"/>
          <w:bCs/>
        </w:rPr>
        <w:t xml:space="preserve">avnatelj:                                                           </w:t>
      </w:r>
      <w:r w:rsidR="00424BED" w:rsidRPr="006253A7">
        <w:rPr>
          <w:rFonts w:ascii="Arial" w:hAnsi="Arial" w:cs="Arial"/>
          <w:bCs/>
        </w:rPr>
        <w:t xml:space="preserve"> </w:t>
      </w:r>
      <w:r>
        <w:rPr>
          <w:rFonts w:ascii="Arial" w:hAnsi="Arial" w:cs="Arial"/>
          <w:bCs/>
        </w:rPr>
        <w:t xml:space="preserve">   </w:t>
      </w:r>
    </w:p>
    <w:p w14:paraId="5846AE22" w14:textId="2BC56C9B" w:rsidR="00424BED" w:rsidRPr="006253A7" w:rsidRDefault="002A2DB9" w:rsidP="002A2DB9">
      <w:pPr>
        <w:ind w:firstLine="708"/>
        <w:rPr>
          <w:rFonts w:ascii="Arial" w:hAnsi="Arial" w:cs="Arial"/>
          <w:bCs/>
        </w:rPr>
      </w:pPr>
      <w:r>
        <w:rPr>
          <w:rFonts w:ascii="Arial" w:hAnsi="Arial" w:cs="Arial"/>
          <w:bCs/>
        </w:rPr>
        <w:t xml:space="preserve">                                                                           </w:t>
      </w:r>
      <w:r w:rsidR="00424BED" w:rsidRPr="006253A7">
        <w:rPr>
          <w:rFonts w:ascii="Arial" w:hAnsi="Arial" w:cs="Arial"/>
          <w:bCs/>
        </w:rPr>
        <w:t>____________________</w:t>
      </w:r>
    </w:p>
    <w:p w14:paraId="2A933860" w14:textId="77777777" w:rsidR="00424BED" w:rsidRPr="006253A7" w:rsidRDefault="00424BED" w:rsidP="00424BED">
      <w:pPr>
        <w:ind w:firstLine="708"/>
        <w:rPr>
          <w:rFonts w:ascii="Arial" w:hAnsi="Arial" w:cs="Arial"/>
          <w:bCs/>
        </w:rPr>
      </w:pPr>
    </w:p>
    <w:p w14:paraId="5C3A5371" w14:textId="4FE43180" w:rsidR="005A0A1E" w:rsidRDefault="006253A7" w:rsidP="006253A7">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004BE860" w14:textId="64EA91AE" w:rsidR="002A2DB9" w:rsidRDefault="002A2DB9" w:rsidP="006253A7">
      <w:pPr>
        <w:rPr>
          <w:rFonts w:ascii="Arial" w:hAnsi="Arial" w:cs="Arial"/>
        </w:rPr>
      </w:pPr>
    </w:p>
    <w:p w14:paraId="15E3AC2F" w14:textId="46D436EC" w:rsidR="002A2DB9" w:rsidRDefault="002A2DB9" w:rsidP="006253A7">
      <w:pPr>
        <w:rPr>
          <w:rFonts w:ascii="Arial" w:hAnsi="Arial" w:cs="Arial"/>
        </w:rPr>
      </w:pPr>
    </w:p>
    <w:p w14:paraId="564BE5C2" w14:textId="790FEB44" w:rsidR="002A2DB9" w:rsidRDefault="002A2DB9" w:rsidP="006253A7">
      <w:pPr>
        <w:rPr>
          <w:rFonts w:ascii="Arial" w:hAnsi="Arial" w:cs="Arial"/>
        </w:rPr>
      </w:pPr>
    </w:p>
    <w:p w14:paraId="72C18869" w14:textId="6D14409D" w:rsidR="002A2DB9" w:rsidRDefault="002A2DB9" w:rsidP="006253A7">
      <w:pPr>
        <w:rPr>
          <w:rFonts w:ascii="Arial" w:hAnsi="Arial" w:cs="Arial"/>
        </w:rPr>
      </w:pPr>
    </w:p>
    <w:p w14:paraId="3CFFBC4C" w14:textId="7ADB7413" w:rsidR="002A2DB9" w:rsidRDefault="002A2DB9" w:rsidP="006253A7">
      <w:pPr>
        <w:rPr>
          <w:rFonts w:ascii="Arial" w:hAnsi="Arial" w:cs="Arial"/>
        </w:rPr>
      </w:pPr>
    </w:p>
    <w:p w14:paraId="5000FED4" w14:textId="35984D93" w:rsidR="002A2DB9" w:rsidRDefault="002A2DB9" w:rsidP="006253A7">
      <w:pPr>
        <w:rPr>
          <w:rFonts w:ascii="Arial" w:hAnsi="Arial" w:cs="Arial"/>
        </w:rPr>
      </w:pPr>
    </w:p>
    <w:p w14:paraId="2EE4C8A2" w14:textId="4D324F29" w:rsidR="002A2DB9" w:rsidRDefault="002A2DB9" w:rsidP="006253A7">
      <w:pPr>
        <w:rPr>
          <w:rFonts w:ascii="Arial" w:hAnsi="Arial" w:cs="Arial"/>
        </w:rPr>
      </w:pPr>
    </w:p>
    <w:p w14:paraId="1E13B9AE" w14:textId="7AF7C9D6" w:rsidR="002A2DB9" w:rsidRDefault="002A2DB9" w:rsidP="006253A7">
      <w:pPr>
        <w:rPr>
          <w:rFonts w:ascii="Arial" w:hAnsi="Arial" w:cs="Arial"/>
        </w:rPr>
      </w:pPr>
    </w:p>
    <w:p w14:paraId="0F071A3F" w14:textId="6C17F123" w:rsidR="002A2DB9" w:rsidRDefault="002A2DB9" w:rsidP="006253A7">
      <w:pPr>
        <w:rPr>
          <w:rFonts w:ascii="Arial" w:hAnsi="Arial" w:cs="Arial"/>
        </w:rPr>
      </w:pPr>
    </w:p>
    <w:p w14:paraId="6D8ABCB4" w14:textId="626315F9" w:rsidR="002A2DB9" w:rsidRDefault="002A2DB9" w:rsidP="006253A7">
      <w:pPr>
        <w:rPr>
          <w:rFonts w:ascii="Arial" w:hAnsi="Arial" w:cs="Arial"/>
        </w:rPr>
      </w:pPr>
    </w:p>
    <w:p w14:paraId="0E4ED869" w14:textId="0D596793" w:rsidR="002A2DB9" w:rsidRDefault="002A2DB9" w:rsidP="006253A7">
      <w:pPr>
        <w:rPr>
          <w:rFonts w:ascii="Arial" w:hAnsi="Arial" w:cs="Arial"/>
        </w:rPr>
      </w:pPr>
    </w:p>
    <w:p w14:paraId="39E72C53" w14:textId="6D5EB281" w:rsidR="002A2DB9" w:rsidRDefault="002A2DB9" w:rsidP="006253A7">
      <w:pPr>
        <w:rPr>
          <w:rFonts w:ascii="Arial" w:hAnsi="Arial" w:cs="Arial"/>
        </w:rPr>
      </w:pPr>
    </w:p>
    <w:p w14:paraId="64F2FBFE" w14:textId="02887A67" w:rsidR="002A2DB9" w:rsidRDefault="002A2DB9" w:rsidP="006253A7">
      <w:pPr>
        <w:rPr>
          <w:rFonts w:ascii="Arial" w:hAnsi="Arial" w:cs="Arial"/>
        </w:rPr>
      </w:pPr>
    </w:p>
    <w:p w14:paraId="48CC84EE" w14:textId="577AEFC3" w:rsidR="002A2DB9" w:rsidRDefault="002A2DB9" w:rsidP="006253A7">
      <w:pPr>
        <w:rPr>
          <w:rFonts w:ascii="Arial" w:hAnsi="Arial" w:cs="Arial"/>
        </w:rPr>
      </w:pPr>
    </w:p>
    <w:p w14:paraId="224CE60E" w14:textId="1C05392A" w:rsidR="002A2DB9" w:rsidRDefault="002A2DB9" w:rsidP="006253A7">
      <w:pPr>
        <w:rPr>
          <w:rFonts w:ascii="Arial" w:hAnsi="Arial" w:cs="Arial"/>
        </w:rPr>
      </w:pPr>
    </w:p>
    <w:p w14:paraId="0F6EC86B" w14:textId="21FC163D" w:rsidR="002A2DB9" w:rsidRDefault="002A2DB9" w:rsidP="006253A7">
      <w:pPr>
        <w:rPr>
          <w:rFonts w:ascii="Arial" w:hAnsi="Arial" w:cs="Arial"/>
        </w:rPr>
      </w:pPr>
    </w:p>
    <w:p w14:paraId="5EEDE106" w14:textId="2E625E9B" w:rsidR="002A2DB9" w:rsidRDefault="002A2DB9" w:rsidP="006253A7">
      <w:pPr>
        <w:rPr>
          <w:rFonts w:ascii="Arial" w:hAnsi="Arial" w:cs="Arial"/>
        </w:rPr>
      </w:pPr>
    </w:p>
    <w:p w14:paraId="0ED42DDD" w14:textId="449FA986" w:rsidR="002A2DB9" w:rsidRDefault="002A2DB9" w:rsidP="006253A7">
      <w:pPr>
        <w:rPr>
          <w:rFonts w:ascii="Arial" w:hAnsi="Arial" w:cs="Arial"/>
        </w:rPr>
      </w:pPr>
    </w:p>
    <w:p w14:paraId="3C374775" w14:textId="3C22548E" w:rsidR="002A2DB9" w:rsidRDefault="002A2DB9" w:rsidP="006253A7">
      <w:pPr>
        <w:rPr>
          <w:rFonts w:ascii="Arial" w:hAnsi="Arial" w:cs="Arial"/>
        </w:rPr>
      </w:pPr>
    </w:p>
    <w:p w14:paraId="0C128EE0" w14:textId="37E451B2" w:rsidR="002A2DB9" w:rsidRDefault="002A2DB9" w:rsidP="006253A7">
      <w:pPr>
        <w:rPr>
          <w:rFonts w:ascii="Arial" w:hAnsi="Arial" w:cs="Arial"/>
        </w:rPr>
      </w:pPr>
    </w:p>
    <w:p w14:paraId="4D1EFDB1" w14:textId="05E260B3" w:rsidR="002A2DB9" w:rsidRDefault="002A2DB9" w:rsidP="006253A7">
      <w:pPr>
        <w:rPr>
          <w:rFonts w:ascii="Arial" w:hAnsi="Arial" w:cs="Arial"/>
        </w:rPr>
      </w:pPr>
    </w:p>
    <w:p w14:paraId="58A46C32" w14:textId="0472D389" w:rsidR="002A2DB9" w:rsidRDefault="002A2DB9" w:rsidP="006253A7">
      <w:pPr>
        <w:rPr>
          <w:rFonts w:ascii="Arial" w:hAnsi="Arial" w:cs="Arial"/>
        </w:rPr>
      </w:pPr>
    </w:p>
    <w:p w14:paraId="4429D50F" w14:textId="0D35BB26" w:rsidR="002A2DB9" w:rsidRDefault="002A2DB9" w:rsidP="006253A7">
      <w:pPr>
        <w:rPr>
          <w:rFonts w:ascii="Arial" w:hAnsi="Arial" w:cs="Arial"/>
        </w:rPr>
      </w:pPr>
    </w:p>
    <w:p w14:paraId="61594C30" w14:textId="79EA4B1B" w:rsidR="002A2DB9" w:rsidRDefault="002A2DB9" w:rsidP="006253A7">
      <w:pPr>
        <w:rPr>
          <w:rFonts w:ascii="Arial" w:hAnsi="Arial" w:cs="Arial"/>
        </w:rPr>
      </w:pPr>
    </w:p>
    <w:p w14:paraId="2C5039A1" w14:textId="56EFC582" w:rsidR="002A2DB9" w:rsidRDefault="002A2DB9" w:rsidP="006253A7">
      <w:pPr>
        <w:rPr>
          <w:rFonts w:ascii="Arial" w:hAnsi="Arial" w:cs="Arial"/>
        </w:rPr>
      </w:pPr>
    </w:p>
    <w:p w14:paraId="4778E3D1" w14:textId="38589BDA" w:rsidR="002A2DB9" w:rsidRDefault="002A2DB9" w:rsidP="006253A7">
      <w:pPr>
        <w:rPr>
          <w:rFonts w:ascii="Arial" w:hAnsi="Arial" w:cs="Arial"/>
        </w:rPr>
      </w:pPr>
    </w:p>
    <w:p w14:paraId="3A5FBC82" w14:textId="7B84081B" w:rsidR="002A2DB9" w:rsidRDefault="002A2DB9" w:rsidP="006253A7">
      <w:pPr>
        <w:rPr>
          <w:rFonts w:ascii="Arial" w:hAnsi="Arial" w:cs="Arial"/>
        </w:rPr>
      </w:pPr>
    </w:p>
    <w:p w14:paraId="1337DF2F" w14:textId="08C7A92F" w:rsidR="002A2DB9" w:rsidRDefault="002A2DB9" w:rsidP="006253A7">
      <w:pPr>
        <w:rPr>
          <w:rFonts w:ascii="Arial" w:hAnsi="Arial" w:cs="Arial"/>
        </w:rPr>
      </w:pPr>
    </w:p>
    <w:p w14:paraId="6EB229C4" w14:textId="2665F60E" w:rsidR="002A2DB9" w:rsidRDefault="002A2DB9" w:rsidP="006253A7">
      <w:pPr>
        <w:rPr>
          <w:rFonts w:ascii="Arial" w:hAnsi="Arial" w:cs="Arial"/>
        </w:rPr>
      </w:pPr>
    </w:p>
    <w:p w14:paraId="309D4D54" w14:textId="6180EE7F" w:rsidR="002A2DB9" w:rsidRDefault="002A2DB9" w:rsidP="006253A7">
      <w:pPr>
        <w:rPr>
          <w:rFonts w:ascii="Arial" w:hAnsi="Arial" w:cs="Arial"/>
        </w:rPr>
      </w:pPr>
    </w:p>
    <w:p w14:paraId="2A4A597A" w14:textId="3B60878A" w:rsidR="002A2DB9" w:rsidRDefault="002A2DB9" w:rsidP="006253A7">
      <w:pPr>
        <w:rPr>
          <w:rFonts w:ascii="Arial" w:hAnsi="Arial" w:cs="Arial"/>
        </w:rPr>
      </w:pPr>
    </w:p>
    <w:p w14:paraId="013C96AF" w14:textId="18CE64F3" w:rsidR="002A2DB9" w:rsidRDefault="002A2DB9" w:rsidP="006253A7">
      <w:pPr>
        <w:rPr>
          <w:rFonts w:ascii="Arial" w:hAnsi="Arial" w:cs="Arial"/>
        </w:rPr>
      </w:pPr>
    </w:p>
    <w:p w14:paraId="410383F6" w14:textId="3BA05DA4" w:rsidR="002A2DB9" w:rsidRDefault="002A2DB9" w:rsidP="006253A7">
      <w:pPr>
        <w:rPr>
          <w:rFonts w:ascii="Arial" w:hAnsi="Arial" w:cs="Arial"/>
        </w:rPr>
      </w:pPr>
    </w:p>
    <w:p w14:paraId="123542EF" w14:textId="48B4358D" w:rsidR="002A2DB9" w:rsidRDefault="002A2DB9" w:rsidP="006253A7">
      <w:pPr>
        <w:rPr>
          <w:rFonts w:ascii="Arial" w:hAnsi="Arial" w:cs="Arial"/>
        </w:rPr>
      </w:pPr>
    </w:p>
    <w:p w14:paraId="447747AD" w14:textId="13D27758" w:rsidR="002A2DB9" w:rsidRDefault="002A2DB9" w:rsidP="006253A7">
      <w:pPr>
        <w:rPr>
          <w:rFonts w:ascii="Arial" w:hAnsi="Arial" w:cs="Arial"/>
        </w:rPr>
      </w:pPr>
    </w:p>
    <w:p w14:paraId="0C392DF5" w14:textId="4DBEBDCD" w:rsidR="002A2DB9" w:rsidRDefault="002A2DB9" w:rsidP="006253A7">
      <w:pPr>
        <w:rPr>
          <w:rFonts w:ascii="Arial" w:hAnsi="Arial" w:cs="Arial"/>
        </w:rPr>
      </w:pPr>
    </w:p>
    <w:p w14:paraId="29842D27" w14:textId="27B1ADD7" w:rsidR="002A2DB9" w:rsidRDefault="002A2DB9" w:rsidP="006253A7">
      <w:pPr>
        <w:rPr>
          <w:rFonts w:ascii="Arial" w:hAnsi="Arial" w:cs="Arial"/>
        </w:rPr>
      </w:pPr>
    </w:p>
    <w:p w14:paraId="6666EA58" w14:textId="20D060B5" w:rsidR="002A2DB9" w:rsidRDefault="002A2DB9" w:rsidP="006253A7">
      <w:pPr>
        <w:rPr>
          <w:rFonts w:ascii="Arial" w:hAnsi="Arial" w:cs="Arial"/>
        </w:rPr>
      </w:pPr>
    </w:p>
    <w:p w14:paraId="751AC150" w14:textId="656A799D" w:rsidR="002A2DB9" w:rsidRDefault="002A2DB9" w:rsidP="006253A7">
      <w:pPr>
        <w:rPr>
          <w:rFonts w:ascii="Arial" w:hAnsi="Arial" w:cs="Arial"/>
        </w:rPr>
      </w:pPr>
    </w:p>
    <w:p w14:paraId="40C85C05" w14:textId="733F9999" w:rsidR="002A2DB9" w:rsidRDefault="002A2DB9" w:rsidP="006253A7">
      <w:pPr>
        <w:rPr>
          <w:rFonts w:ascii="Arial" w:hAnsi="Arial" w:cs="Arial"/>
        </w:rPr>
      </w:pPr>
    </w:p>
    <w:p w14:paraId="69F486D4" w14:textId="462B265E" w:rsidR="002A2DB9" w:rsidRDefault="002A2DB9" w:rsidP="006253A7">
      <w:pPr>
        <w:rPr>
          <w:rFonts w:ascii="Arial" w:hAnsi="Arial" w:cs="Arial"/>
        </w:rPr>
      </w:pPr>
    </w:p>
    <w:p w14:paraId="006BB1EE" w14:textId="653E345C" w:rsidR="002A2DB9" w:rsidRDefault="002A2DB9" w:rsidP="006253A7">
      <w:pPr>
        <w:rPr>
          <w:rFonts w:ascii="Arial" w:hAnsi="Arial" w:cs="Arial"/>
        </w:rPr>
      </w:pPr>
    </w:p>
    <w:p w14:paraId="1E6B8F0E" w14:textId="672CCCFF" w:rsidR="002A2DB9" w:rsidRDefault="002A2DB9" w:rsidP="006253A7">
      <w:pPr>
        <w:rPr>
          <w:rFonts w:ascii="Arial" w:hAnsi="Arial" w:cs="Arial"/>
        </w:rPr>
      </w:pPr>
    </w:p>
    <w:p w14:paraId="3CC12FC6" w14:textId="625E32E7" w:rsidR="002A2DB9" w:rsidRDefault="002A2DB9" w:rsidP="006253A7">
      <w:pPr>
        <w:rPr>
          <w:rFonts w:ascii="Arial" w:hAnsi="Arial" w:cs="Arial"/>
        </w:rPr>
      </w:pPr>
    </w:p>
    <w:p w14:paraId="3E6211F9" w14:textId="25FC94A9" w:rsidR="002A2DB9" w:rsidRDefault="002A2DB9" w:rsidP="006253A7">
      <w:pPr>
        <w:rPr>
          <w:rFonts w:ascii="Arial" w:hAnsi="Arial" w:cs="Arial"/>
        </w:rPr>
      </w:pPr>
    </w:p>
    <w:p w14:paraId="65DFE40C" w14:textId="77777777" w:rsidR="002A2DB9" w:rsidRPr="00E97C41" w:rsidRDefault="002A2DB9" w:rsidP="006253A7">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5703B351"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6253A7">
              <w:rPr>
                <w:rFonts w:ascii="Arial" w:hAnsi="Arial" w:cs="Arial"/>
              </w:rPr>
              <w:t>60</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6253A7"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6253A7">
        <w:rPr>
          <w:rFonts w:ascii="Arial" w:hAnsi="Arial" w:cs="Arial"/>
          <w:b/>
        </w:rPr>
        <w:t>subjekata</w:t>
      </w:r>
      <w:r w:rsidR="00A24D27" w:rsidRPr="006253A7">
        <w:rPr>
          <w:rFonts w:ascii="Arial" w:hAnsi="Arial" w:cs="Arial"/>
          <w:b/>
        </w:rPr>
        <w:t xml:space="preserve"> (priložiti/popuniti samo u slučaju ako se dio ugovora radi u zajednici)</w:t>
      </w:r>
    </w:p>
    <w:p w14:paraId="0A6A590F" w14:textId="77777777" w:rsidR="00424BED" w:rsidRPr="006253A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E479828" w:rsidR="00424BED" w:rsidRPr="00AD3B19" w:rsidRDefault="00115B11"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11FEE79D" w:rsidR="00424BED"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7B083398" w14:textId="04B04BF4" w:rsidR="006253A7" w:rsidRDefault="006253A7" w:rsidP="00424BED">
      <w:pPr>
        <w:tabs>
          <w:tab w:val="left" w:pos="567"/>
        </w:tabs>
        <w:ind w:right="-284"/>
        <w:jc w:val="right"/>
        <w:rPr>
          <w:rFonts w:ascii="Arial" w:hAnsi="Arial" w:cs="Arial"/>
          <w:bCs/>
          <w:sz w:val="20"/>
          <w:szCs w:val="20"/>
        </w:rPr>
      </w:pPr>
    </w:p>
    <w:p w14:paraId="7A5E7B52" w14:textId="77777777" w:rsidR="006253A7" w:rsidRPr="00E7662F" w:rsidRDefault="006253A7" w:rsidP="00424BED">
      <w:pPr>
        <w:tabs>
          <w:tab w:val="left" w:pos="567"/>
        </w:tabs>
        <w:ind w:right="-284"/>
        <w:jc w:val="right"/>
        <w:rPr>
          <w:rFonts w:ascii="Arial" w:hAnsi="Arial" w:cs="Arial"/>
          <w:bCs/>
          <w:sz w:val="20"/>
          <w:szCs w:val="20"/>
        </w:rPr>
      </w:pP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w:t>
      </w:r>
      <w:r w:rsidRPr="006253A7">
        <w:rPr>
          <w:rFonts w:ascii="Arial" w:hAnsi="Arial" w:cs="Arial"/>
          <w:b/>
        </w:rPr>
        <w:t xml:space="preserve">podugovarateljima </w:t>
      </w:r>
      <w:r w:rsidRPr="006253A7">
        <w:rPr>
          <w:rFonts w:ascii="Arial" w:hAnsi="Arial" w:cs="Arial"/>
          <w:bCs/>
          <w:u w:val="single"/>
        </w:rPr>
        <w:t>(priložiti/popuniti samo u slučaju ako se dio ugovora ustupa podugovarateljima</w:t>
      </w:r>
      <w:r w:rsidRPr="006253A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53A53B42" w:rsidR="00A24D27" w:rsidRPr="00AD3B19" w:rsidRDefault="00115B11"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7168051" w:rsidR="00424BED" w:rsidRPr="00AD3B19" w:rsidRDefault="00115B11"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F1EA" w14:textId="77777777" w:rsidR="00F82D16" w:rsidRDefault="00F82D16" w:rsidP="00424BED">
      <w:r>
        <w:separator/>
      </w:r>
    </w:p>
  </w:endnote>
  <w:endnote w:type="continuationSeparator" w:id="0">
    <w:p w14:paraId="5F3F63CD" w14:textId="77777777" w:rsidR="00F82D16" w:rsidRDefault="00F82D16"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206B" w14:textId="77777777" w:rsidR="00F82D16" w:rsidRDefault="00F82D16" w:rsidP="00424BED">
      <w:r>
        <w:separator/>
      </w:r>
    </w:p>
  </w:footnote>
  <w:footnote w:type="continuationSeparator" w:id="0">
    <w:p w14:paraId="018A17CC" w14:textId="77777777" w:rsidR="00F82D16" w:rsidRDefault="00F82D16"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732965394">
    <w:abstractNumId w:val="13"/>
  </w:num>
  <w:num w:numId="2" w16cid:durableId="114061862">
    <w:abstractNumId w:val="11"/>
  </w:num>
  <w:num w:numId="3" w16cid:durableId="1794981631">
    <w:abstractNumId w:val="26"/>
  </w:num>
  <w:num w:numId="4" w16cid:durableId="1185052201">
    <w:abstractNumId w:val="6"/>
  </w:num>
  <w:num w:numId="5" w16cid:durableId="2044136218">
    <w:abstractNumId w:val="20"/>
  </w:num>
  <w:num w:numId="6" w16cid:durableId="762871159">
    <w:abstractNumId w:val="12"/>
  </w:num>
  <w:num w:numId="7" w16cid:durableId="229510494">
    <w:abstractNumId w:val="17"/>
  </w:num>
  <w:num w:numId="8" w16cid:durableId="267351407">
    <w:abstractNumId w:val="2"/>
  </w:num>
  <w:num w:numId="9" w16cid:durableId="487135508">
    <w:abstractNumId w:val="24"/>
  </w:num>
  <w:num w:numId="10" w16cid:durableId="664556818">
    <w:abstractNumId w:val="7"/>
  </w:num>
  <w:num w:numId="11" w16cid:durableId="1563636130">
    <w:abstractNumId w:val="25"/>
  </w:num>
  <w:num w:numId="12" w16cid:durableId="2040466226">
    <w:abstractNumId w:val="19"/>
  </w:num>
  <w:num w:numId="13" w16cid:durableId="918296086">
    <w:abstractNumId w:val="4"/>
  </w:num>
  <w:num w:numId="14" w16cid:durableId="197743479">
    <w:abstractNumId w:val="18"/>
  </w:num>
  <w:num w:numId="15" w16cid:durableId="1403137638">
    <w:abstractNumId w:val="10"/>
  </w:num>
  <w:num w:numId="16" w16cid:durableId="188832841">
    <w:abstractNumId w:val="16"/>
  </w:num>
  <w:num w:numId="17" w16cid:durableId="1010375601">
    <w:abstractNumId w:val="22"/>
  </w:num>
  <w:num w:numId="18" w16cid:durableId="532545842">
    <w:abstractNumId w:val="5"/>
  </w:num>
  <w:num w:numId="19" w16cid:durableId="354309694">
    <w:abstractNumId w:val="23"/>
  </w:num>
  <w:num w:numId="20" w16cid:durableId="1944264327">
    <w:abstractNumId w:val="8"/>
  </w:num>
  <w:num w:numId="21" w16cid:durableId="550651475">
    <w:abstractNumId w:val="14"/>
  </w:num>
  <w:num w:numId="22" w16cid:durableId="1524436400">
    <w:abstractNumId w:val="15"/>
  </w:num>
  <w:num w:numId="23" w16cid:durableId="1965115542">
    <w:abstractNumId w:val="1"/>
  </w:num>
  <w:num w:numId="24" w16cid:durableId="1132289475">
    <w:abstractNumId w:val="21"/>
  </w:num>
  <w:num w:numId="25" w16cid:durableId="1683161195">
    <w:abstractNumId w:val="0"/>
  </w:num>
  <w:num w:numId="26" w16cid:durableId="885532468">
    <w:abstractNumId w:val="9"/>
  </w:num>
  <w:num w:numId="27" w16cid:durableId="1043679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15B11"/>
    <w:rsid w:val="00122278"/>
    <w:rsid w:val="001900DC"/>
    <w:rsid w:val="001B262C"/>
    <w:rsid w:val="001B6B5E"/>
    <w:rsid w:val="001D6D33"/>
    <w:rsid w:val="0021332C"/>
    <w:rsid w:val="00261ACD"/>
    <w:rsid w:val="00284C85"/>
    <w:rsid w:val="00286074"/>
    <w:rsid w:val="002A1762"/>
    <w:rsid w:val="002A2DB9"/>
    <w:rsid w:val="002A7A9A"/>
    <w:rsid w:val="002B68A6"/>
    <w:rsid w:val="002E040F"/>
    <w:rsid w:val="002E09C2"/>
    <w:rsid w:val="00371C69"/>
    <w:rsid w:val="003C0CA3"/>
    <w:rsid w:val="003C4A02"/>
    <w:rsid w:val="003C7180"/>
    <w:rsid w:val="003C73D3"/>
    <w:rsid w:val="00424BED"/>
    <w:rsid w:val="00425DF3"/>
    <w:rsid w:val="00434725"/>
    <w:rsid w:val="004365EF"/>
    <w:rsid w:val="0046323E"/>
    <w:rsid w:val="00474BE8"/>
    <w:rsid w:val="004A60E6"/>
    <w:rsid w:val="004A624A"/>
    <w:rsid w:val="004A7C92"/>
    <w:rsid w:val="0050230D"/>
    <w:rsid w:val="005572EE"/>
    <w:rsid w:val="005A0A1E"/>
    <w:rsid w:val="005B4533"/>
    <w:rsid w:val="005B5700"/>
    <w:rsid w:val="005D1F24"/>
    <w:rsid w:val="005E695F"/>
    <w:rsid w:val="005F2831"/>
    <w:rsid w:val="006149CA"/>
    <w:rsid w:val="006253A7"/>
    <w:rsid w:val="006B6353"/>
    <w:rsid w:val="006B7A6A"/>
    <w:rsid w:val="0071368E"/>
    <w:rsid w:val="00723FBA"/>
    <w:rsid w:val="00732BC9"/>
    <w:rsid w:val="00810D4C"/>
    <w:rsid w:val="0081160A"/>
    <w:rsid w:val="00834A4D"/>
    <w:rsid w:val="008368BA"/>
    <w:rsid w:val="00883477"/>
    <w:rsid w:val="0088581B"/>
    <w:rsid w:val="008B002E"/>
    <w:rsid w:val="008B4BAD"/>
    <w:rsid w:val="008C27F7"/>
    <w:rsid w:val="008C4C54"/>
    <w:rsid w:val="008F5FF4"/>
    <w:rsid w:val="009303F9"/>
    <w:rsid w:val="00991F40"/>
    <w:rsid w:val="009A25D2"/>
    <w:rsid w:val="00A23021"/>
    <w:rsid w:val="00A24D27"/>
    <w:rsid w:val="00A47E9E"/>
    <w:rsid w:val="00A550A5"/>
    <w:rsid w:val="00A83BB0"/>
    <w:rsid w:val="00AB7302"/>
    <w:rsid w:val="00AF705B"/>
    <w:rsid w:val="00B0276E"/>
    <w:rsid w:val="00B26B39"/>
    <w:rsid w:val="00B43252"/>
    <w:rsid w:val="00BA7FB0"/>
    <w:rsid w:val="00BB1984"/>
    <w:rsid w:val="00BD3E04"/>
    <w:rsid w:val="00BE363D"/>
    <w:rsid w:val="00BF2C9B"/>
    <w:rsid w:val="00BF4584"/>
    <w:rsid w:val="00C02B1E"/>
    <w:rsid w:val="00C53399"/>
    <w:rsid w:val="00C715BE"/>
    <w:rsid w:val="00C917EC"/>
    <w:rsid w:val="00CA2CA7"/>
    <w:rsid w:val="00CB595C"/>
    <w:rsid w:val="00CE63F5"/>
    <w:rsid w:val="00D06887"/>
    <w:rsid w:val="00D15963"/>
    <w:rsid w:val="00D863AC"/>
    <w:rsid w:val="00D94505"/>
    <w:rsid w:val="00D9569F"/>
    <w:rsid w:val="00DA0B22"/>
    <w:rsid w:val="00DB17AC"/>
    <w:rsid w:val="00DE1654"/>
    <w:rsid w:val="00DE46F9"/>
    <w:rsid w:val="00DE4D33"/>
    <w:rsid w:val="00E5217F"/>
    <w:rsid w:val="00E8624C"/>
    <w:rsid w:val="00E97C41"/>
    <w:rsid w:val="00EA5763"/>
    <w:rsid w:val="00EA738B"/>
    <w:rsid w:val="00EC51AE"/>
    <w:rsid w:val="00EE73B6"/>
    <w:rsid w:val="00F42630"/>
    <w:rsid w:val="00F71CC1"/>
    <w:rsid w:val="00F82D16"/>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41</cp:revision>
  <cp:lastPrinted>2023-11-10T12:05:00Z</cp:lastPrinted>
  <dcterms:created xsi:type="dcterms:W3CDTF">2023-05-16T13:59:00Z</dcterms:created>
  <dcterms:modified xsi:type="dcterms:W3CDTF">2025-11-28T10:49:00Z</dcterms:modified>
</cp:coreProperties>
</file>