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206C9" w:rsidRDefault="001D6D33" w:rsidP="00D206C9">
      <w:pPr>
        <w:rPr>
          <w:rFonts w:ascii="Arial" w:eastAsia="SimSun" w:hAnsi="Arial" w:cs="Arial"/>
          <w:b/>
          <w:bCs/>
          <w:lang w:eastAsia="zh-CN"/>
        </w:rPr>
      </w:pPr>
      <w:r w:rsidRPr="00D206C9">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12A17AD8" w:rsidR="00B43252" w:rsidRDefault="008C4C54" w:rsidP="00424BED">
      <w:pPr>
        <w:rPr>
          <w:rFonts w:ascii="Arial" w:hAnsi="Arial" w:cs="Arial"/>
        </w:rPr>
      </w:pPr>
      <w:r>
        <w:rPr>
          <w:rFonts w:ascii="Arial" w:hAnsi="Arial" w:cs="Arial"/>
        </w:rPr>
        <w:t xml:space="preserve">Broj: </w:t>
      </w:r>
      <w:r w:rsidR="008B4BAD">
        <w:rPr>
          <w:rFonts w:ascii="Arial" w:hAnsi="Arial" w:cs="Arial"/>
        </w:rPr>
        <w:t>3</w:t>
      </w:r>
      <w:r w:rsidR="00B43252">
        <w:rPr>
          <w:rFonts w:ascii="Arial" w:hAnsi="Arial" w:cs="Arial"/>
        </w:rPr>
        <w:t>-MV-202</w:t>
      </w:r>
      <w:r w:rsidR="004066EE">
        <w:rPr>
          <w:rFonts w:ascii="Arial" w:hAnsi="Arial" w:cs="Arial"/>
        </w:rPr>
        <w:t>6</w:t>
      </w:r>
      <w:r w:rsidR="00B43252">
        <w:rPr>
          <w:rFonts w:ascii="Arial" w:hAnsi="Arial" w:cs="Arial"/>
        </w:rPr>
        <w:t>/2</w:t>
      </w:r>
    </w:p>
    <w:p w14:paraId="63D6D312" w14:textId="729656C3" w:rsidR="00424BED" w:rsidRDefault="00424BED" w:rsidP="00424BED">
      <w:pPr>
        <w:rPr>
          <w:rFonts w:ascii="Arial" w:hAnsi="Arial" w:cs="Arial"/>
        </w:rPr>
      </w:pPr>
      <w:r w:rsidRPr="00A34EF9">
        <w:rPr>
          <w:rFonts w:ascii="Arial" w:hAnsi="Arial" w:cs="Arial"/>
        </w:rPr>
        <w:t xml:space="preserve">Rijeka, </w:t>
      </w:r>
      <w:r w:rsidR="004066EE">
        <w:rPr>
          <w:rFonts w:ascii="Arial" w:hAnsi="Arial" w:cs="Arial"/>
        </w:rPr>
        <w:t>27</w:t>
      </w:r>
      <w:r w:rsidR="00B43252">
        <w:rPr>
          <w:rFonts w:ascii="Arial" w:hAnsi="Arial" w:cs="Arial"/>
        </w:rPr>
        <w:t>.11.202</w:t>
      </w:r>
      <w:r w:rsidR="004066EE">
        <w:rPr>
          <w:rFonts w:ascii="Arial" w:hAnsi="Arial" w:cs="Arial"/>
        </w:rPr>
        <w:t>5</w:t>
      </w:r>
      <w:r w:rsidR="00B43252">
        <w:rPr>
          <w:rFonts w:ascii="Arial" w:hAnsi="Arial" w:cs="Arial"/>
        </w:rPr>
        <w:t>.</w:t>
      </w:r>
    </w:p>
    <w:p w14:paraId="2C5C3475" w14:textId="77777777" w:rsidR="004066EE" w:rsidRDefault="004066EE" w:rsidP="00424BED">
      <w:pPr>
        <w:rPr>
          <w:rFonts w:ascii="Arial" w:hAnsi="Arial" w:cs="Arial"/>
        </w:rPr>
      </w:pPr>
    </w:p>
    <w:p w14:paraId="0B334577" w14:textId="77777777" w:rsidR="004066EE" w:rsidRDefault="004066EE" w:rsidP="004066EE">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27.11</w:t>
      </w:r>
      <w:r w:rsidRPr="005D0715">
        <w:rPr>
          <w:rFonts w:ascii="Arial" w:eastAsia="SimSun" w:hAnsi="Arial" w:cs="Arial"/>
          <w:lang w:eastAsia="zh-CN"/>
        </w:rPr>
        <w:t>.2025. godine upućuje Vam slijedeći</w:t>
      </w:r>
    </w:p>
    <w:p w14:paraId="48FCA253" w14:textId="77777777" w:rsidR="004066EE" w:rsidRDefault="004066EE" w:rsidP="004066EE">
      <w:pPr>
        <w:rPr>
          <w:rFonts w:ascii="Arial" w:hAnsi="Arial" w:cs="Arial"/>
          <w:b/>
          <w:sz w:val="28"/>
          <w:szCs w:val="28"/>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2B26AA8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na e-mail: povjerenstvo.nabava@zzjz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4C69FB5A" w:rsidR="00424BED" w:rsidRPr="00905995" w:rsidRDefault="00424BED" w:rsidP="00424BED">
      <w:pPr>
        <w:rPr>
          <w:rFonts w:ascii="Arial" w:hAnsi="Arial" w:cs="Arial"/>
        </w:rPr>
      </w:pPr>
      <w:r w:rsidRPr="00905995">
        <w:rPr>
          <w:rFonts w:ascii="Arial" w:hAnsi="Arial" w:cs="Arial"/>
        </w:rPr>
        <w:t xml:space="preserve">Kontakt osoba: </w:t>
      </w:r>
      <w:r w:rsidR="004066EE">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2C744231"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1B6B5E" w:rsidRPr="001B6B5E">
        <w:rPr>
          <w:rFonts w:ascii="Arial" w:hAnsi="Arial" w:cs="Arial"/>
        </w:rPr>
        <w:t>povjerenstvo.nabava@zzjzpgz.hr</w:t>
      </w:r>
    </w:p>
    <w:p w14:paraId="472F05C2" w14:textId="77777777" w:rsidR="00424BED" w:rsidRPr="00905995" w:rsidRDefault="00424BED" w:rsidP="00424BED">
      <w:pPr>
        <w:rPr>
          <w:rFonts w:ascii="Arial" w:hAnsi="Arial" w:cs="Arial"/>
        </w:rPr>
      </w:pPr>
    </w:p>
    <w:p w14:paraId="055F9BFA" w14:textId="5F3DC777"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8B4BAD">
        <w:rPr>
          <w:rFonts w:ascii="Arial" w:hAnsi="Arial" w:cs="Arial"/>
          <w:b w:val="0"/>
          <w:bCs w:val="0"/>
          <w:lang w:val="hr-HR"/>
        </w:rPr>
        <w:t>3</w:t>
      </w:r>
      <w:r w:rsidR="001B6B5E" w:rsidRPr="00883477">
        <w:rPr>
          <w:rFonts w:ascii="Arial" w:hAnsi="Arial" w:cs="Arial"/>
          <w:b w:val="0"/>
          <w:bCs w:val="0"/>
          <w:lang w:val="hr-HR"/>
        </w:rPr>
        <w:t>-MV-202</w:t>
      </w:r>
      <w:r w:rsidR="004066EE">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394CFF24" w:rsidR="002B68A6" w:rsidRPr="002B68A6" w:rsidRDefault="008B4BAD"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26</w:t>
      </w:r>
      <w:r w:rsidR="002B68A6" w:rsidRPr="002B68A6">
        <w:rPr>
          <w:rFonts w:ascii="Arial" w:hAnsi="Arial" w:cs="Arial"/>
          <w:bCs/>
          <w:iCs/>
        </w:rPr>
        <w:t>.</w:t>
      </w:r>
      <w:r>
        <w:rPr>
          <w:rFonts w:ascii="Arial" w:hAnsi="Arial" w:cs="Arial"/>
          <w:bCs/>
          <w:iCs/>
        </w:rPr>
        <w:t>200</w:t>
      </w:r>
      <w:r w:rsidR="002B68A6" w:rsidRPr="002B68A6">
        <w:rPr>
          <w:rFonts w:ascii="Arial" w:hAnsi="Arial" w:cs="Arial"/>
          <w:bCs/>
          <w:iCs/>
        </w:rPr>
        <w:t>,00 eura (bez PDV-a).</w:t>
      </w:r>
    </w:p>
    <w:p w14:paraId="40F6F3E8" w14:textId="23DD4178" w:rsidR="008B4BAD" w:rsidRPr="002B68A6" w:rsidRDefault="008B4BAD"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5C484545"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8B4BAD">
        <w:rPr>
          <w:rFonts w:ascii="Arial" w:hAnsi="Arial" w:cs="Arial"/>
        </w:rPr>
        <w:t>roba.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FEBE8A9" w:rsidR="001B6B5E" w:rsidRPr="001B6B5E" w:rsidRDefault="004066EE"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27E1166F"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bookmarkStart w:id="20" w:name="_Hlk150505246"/>
      <w:r w:rsidR="008B4BAD" w:rsidRPr="008B4BAD">
        <w:rPr>
          <w:rFonts w:ascii="Arial" w:hAnsi="Arial" w:cs="Arial"/>
          <w:b w:val="0"/>
          <w:bCs w:val="0"/>
          <w:lang w:val="hr-HR"/>
        </w:rPr>
        <w:t>Medicinski plinovi</w:t>
      </w:r>
      <w:bookmarkEnd w:id="20"/>
    </w:p>
    <w:p w14:paraId="4E870CAD" w14:textId="77777777" w:rsidR="00424BED" w:rsidRDefault="00424BED" w:rsidP="00424BED">
      <w:bookmarkStart w:id="21" w:name="_Toc344472603"/>
      <w:bookmarkStart w:id="22" w:name="_Toc353196617"/>
      <w:bookmarkStart w:id="23" w:name="_Toc370199130"/>
    </w:p>
    <w:p w14:paraId="2DFE33FF" w14:textId="23ADD576" w:rsidR="00424BED"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p w14:paraId="4E429851" w14:textId="77777777" w:rsidR="0098024C" w:rsidRPr="0098024C" w:rsidRDefault="0098024C" w:rsidP="0098024C"/>
    <w:p w14:paraId="30199BEF" w14:textId="006BD1C9" w:rsidR="0098024C" w:rsidRPr="0098024C" w:rsidRDefault="0098024C" w:rsidP="0098024C">
      <w:r>
        <w:rPr>
          <w:rFonts w:ascii="Arial" w:hAnsi="Arial" w:cs="Arial"/>
        </w:rPr>
        <w:t>Roba će se naručivati postupno tijekom 2026. godine, a dinamika isporuke i stvarne količine biti će dogovorene pojedinačnim narudžbama naručitelja tijekom godine. Količina predmeta nabave navedena u troškovniku je okvirna.</w:t>
      </w:r>
    </w:p>
    <w:bookmarkEnd w:id="24"/>
    <w:bookmarkEnd w:id="25"/>
    <w:bookmarkEnd w:id="26"/>
    <w:bookmarkEnd w:id="27"/>
    <w:bookmarkEnd w:id="28"/>
    <w:bookmarkEnd w:id="29"/>
    <w:bookmarkEnd w:id="30"/>
    <w:bookmarkEnd w:id="31"/>
    <w:bookmarkEnd w:id="32"/>
    <w:bookmarkEnd w:id="33"/>
    <w:bookmarkEnd w:id="34"/>
    <w:bookmarkEnd w:id="35"/>
    <w:bookmarkEnd w:id="36"/>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Pr="001B6B5E" w:rsidRDefault="00424BED" w:rsidP="001B6B5E">
      <w:pPr>
        <w:pStyle w:val="Heading2"/>
        <w:numPr>
          <w:ilvl w:val="1"/>
          <w:numId w:val="7"/>
        </w:numPr>
        <w:jc w:val="both"/>
        <w:rPr>
          <w:rFonts w:ascii="Arial" w:hAnsi="Arial" w:cs="Arial"/>
          <w:lang w:val="hr-HR"/>
        </w:rPr>
      </w:pPr>
      <w:bookmarkStart w:id="37" w:name="_Toc344472605"/>
      <w:bookmarkStart w:id="38" w:name="_Toc353196620"/>
      <w:bookmarkStart w:id="39" w:name="_Toc370199133"/>
      <w:r>
        <w:rPr>
          <w:rFonts w:ascii="Arial" w:hAnsi="Arial" w:cs="Arial"/>
          <w:lang w:val="hr-HR"/>
        </w:rPr>
        <w:t>M</w:t>
      </w:r>
      <w:r w:rsidRPr="00905995">
        <w:rPr>
          <w:rFonts w:ascii="Arial" w:hAnsi="Arial" w:cs="Arial"/>
          <w:lang w:val="hr-HR"/>
        </w:rPr>
        <w:t xml:space="preserve">jesto </w:t>
      </w:r>
      <w:bookmarkEnd w:id="37"/>
      <w:bookmarkEnd w:id="38"/>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40" w:name="_Toc344472606"/>
      <w:bookmarkStart w:id="41" w:name="_Toc353196621"/>
      <w:bookmarkEnd w:id="39"/>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0B9D766A" w:rsidR="00424BED" w:rsidRPr="00DC5372" w:rsidRDefault="00424BED" w:rsidP="00424BED">
      <w:pPr>
        <w:pStyle w:val="Heading2"/>
        <w:numPr>
          <w:ilvl w:val="1"/>
          <w:numId w:val="7"/>
        </w:numPr>
        <w:spacing w:after="0"/>
        <w:jc w:val="both"/>
        <w:rPr>
          <w:rFonts w:ascii="Arial" w:hAnsi="Arial" w:cs="Arial"/>
          <w:b w:val="0"/>
          <w:bCs w:val="0"/>
          <w:lang w:val="hr-HR"/>
        </w:rPr>
      </w:pPr>
      <w:bookmarkStart w:id="42"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3" w:name="_Toc308166210"/>
      <w:bookmarkEnd w:id="3"/>
      <w:bookmarkEnd w:id="4"/>
      <w:bookmarkEnd w:id="5"/>
      <w:bookmarkEnd w:id="6"/>
      <w:bookmarkEnd w:id="40"/>
      <w:bookmarkEnd w:id="41"/>
      <w:bookmarkEnd w:id="42"/>
      <w:r w:rsidR="00EA5763">
        <w:rPr>
          <w:rFonts w:ascii="Arial" w:hAnsi="Arial" w:cs="Arial"/>
          <w:lang w:val="hr-HR"/>
        </w:rPr>
        <w:t xml:space="preserve">: </w:t>
      </w:r>
      <w:r w:rsidR="00DC5372" w:rsidRPr="00DC5372">
        <w:rPr>
          <w:rFonts w:ascii="Arial" w:hAnsi="Arial" w:cs="Arial"/>
          <w:b w:val="0"/>
          <w:bCs w:val="0"/>
          <w:lang w:val="hr-HR"/>
        </w:rPr>
        <w:t>12 mjeseci, odnosno proračunska 202</w:t>
      </w:r>
      <w:r w:rsidR="003A4445">
        <w:rPr>
          <w:rFonts w:ascii="Arial" w:hAnsi="Arial" w:cs="Arial"/>
          <w:b w:val="0"/>
          <w:bCs w:val="0"/>
          <w:lang w:val="hr-HR"/>
        </w:rPr>
        <w:t>6</w:t>
      </w:r>
      <w:r w:rsidR="00DC5372" w:rsidRPr="00DC5372">
        <w:rPr>
          <w:rFonts w:ascii="Arial" w:hAnsi="Arial" w:cs="Arial"/>
          <w:b w:val="0"/>
          <w:bCs w:val="0"/>
          <w:lang w:val="hr-HR"/>
        </w:rPr>
        <w:t>. godina.</w:t>
      </w:r>
    </w:p>
    <w:p w14:paraId="697B20E4" w14:textId="77777777" w:rsidR="00424BED" w:rsidRPr="00DC5372"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670A4770"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4066EE">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D206C9">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43A91C1F"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Rok valjanosti ponude</w:t>
      </w:r>
      <w:r w:rsidRPr="00DC5372">
        <w:rPr>
          <w:rFonts w:ascii="Arial" w:hAnsi="Arial" w:cs="Arial"/>
          <w:b w:val="0"/>
          <w:bCs w:val="0"/>
          <w:lang w:val="hr-HR"/>
        </w:rPr>
        <w:t xml:space="preserve">: </w:t>
      </w:r>
      <w:r w:rsidR="004066EE">
        <w:rPr>
          <w:rFonts w:ascii="Arial" w:hAnsi="Arial" w:cs="Arial"/>
          <w:b w:val="0"/>
          <w:bCs w:val="0"/>
          <w:lang w:val="hr-HR"/>
        </w:rPr>
        <w:t>60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4"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4"/>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3"/>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6324A98F" w14:textId="0B046E5A" w:rsidR="00883477"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5" w:name="_Toc338403985"/>
      <w:bookmarkStart w:id="46" w:name="_Toc347820971"/>
      <w:bookmarkStart w:id="47" w:name="_Toc353196626"/>
      <w:bookmarkStart w:id="48" w:name="_Toc370199139"/>
      <w:r>
        <w:rPr>
          <w:rFonts w:ascii="Arial" w:hAnsi="Arial" w:cs="Arial"/>
          <w:sz w:val="28"/>
          <w:szCs w:val="28"/>
        </w:rPr>
        <w:t>5</w:t>
      </w:r>
      <w:r w:rsidR="00424BED" w:rsidRPr="005E4C77">
        <w:rPr>
          <w:rFonts w:ascii="Arial" w:hAnsi="Arial" w:cs="Arial"/>
          <w:sz w:val="28"/>
          <w:szCs w:val="28"/>
        </w:rPr>
        <w:t>. PRAVILA DOSTAVLJANJA DOKUMENATA</w:t>
      </w:r>
      <w:bookmarkEnd w:id="45"/>
      <w:bookmarkEnd w:id="46"/>
      <w:bookmarkEnd w:id="47"/>
      <w:bookmarkEnd w:id="48"/>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9" w:name="_Toc353196628"/>
      <w:bookmarkStart w:id="50" w:name="_Toc310162292"/>
      <w:r>
        <w:rPr>
          <w:rFonts w:ascii="Arial" w:hAnsi="Arial" w:cs="Arial"/>
          <w:bCs w:val="0"/>
          <w:lang w:val="hr-HR"/>
        </w:rPr>
        <w:t>5</w:t>
      </w:r>
      <w:r w:rsidR="00424BED" w:rsidRPr="005E4C77">
        <w:rPr>
          <w:rFonts w:ascii="Arial" w:hAnsi="Arial" w:cs="Arial"/>
          <w:bCs w:val="0"/>
          <w:lang w:val="hr-HR"/>
        </w:rPr>
        <w:t>.2. Sadržaj ponude</w:t>
      </w:r>
      <w:bookmarkEnd w:id="49"/>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1" w:name="_Toc316645485"/>
      <w:bookmarkStart w:id="52"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1"/>
      <w:bookmarkEnd w:id="52"/>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3" w:name="_Toc230683831"/>
      <w:bookmarkStart w:id="54" w:name="_Toc240335983"/>
      <w:bookmarkStart w:id="55" w:name="_Toc240684325"/>
      <w:bookmarkStart w:id="56" w:name="_Toc240685107"/>
      <w:bookmarkStart w:id="57" w:name="_Toc240782660"/>
      <w:bookmarkStart w:id="58" w:name="_Toc240870153"/>
      <w:bookmarkStart w:id="59" w:name="_Toc240870278"/>
      <w:bookmarkStart w:id="60" w:name="_Toc254255152"/>
      <w:bookmarkStart w:id="61" w:name="_Toc254692837"/>
      <w:bookmarkStart w:id="62" w:name="_Toc254692893"/>
      <w:bookmarkStart w:id="63" w:name="_Toc254693147"/>
      <w:bookmarkStart w:id="64" w:name="_Toc262037746"/>
      <w:bookmarkStart w:id="65" w:name="_Toc264622690"/>
      <w:bookmarkStart w:id="66" w:name="_Toc277683758"/>
      <w:bookmarkStart w:id="67" w:name="_Toc277847516"/>
      <w:bookmarkStart w:id="68" w:name="_Toc277847575"/>
      <w:bookmarkStart w:id="69" w:name="_Toc277848297"/>
      <w:bookmarkStart w:id="70" w:name="_Toc279488427"/>
      <w:bookmarkStart w:id="71"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08B9497B" w:rsidR="00424BED" w:rsidRPr="00283957" w:rsidRDefault="00424BED" w:rsidP="00424BED">
      <w:pPr>
        <w:ind w:left="708"/>
        <w:jc w:val="center"/>
        <w:rPr>
          <w:rFonts w:ascii="Arial" w:hAnsi="Arial" w:cs="Arial"/>
          <w:b/>
          <w:bCs/>
          <w:iCs/>
        </w:rPr>
      </w:pPr>
      <w:r w:rsidRPr="00283957">
        <w:rPr>
          <w:rFonts w:ascii="Arial" w:hAnsi="Arial" w:cs="Arial"/>
          <w:b/>
          <w:bCs/>
          <w:iCs/>
        </w:rPr>
        <w:t>„</w:t>
      </w:r>
      <w:r w:rsidR="008B4BAD">
        <w:rPr>
          <w:rFonts w:ascii="Arial" w:hAnsi="Arial" w:cs="Arial"/>
          <w:b/>
          <w:bCs/>
          <w:iCs/>
        </w:rPr>
        <w:t>Medicinski plinovi</w:t>
      </w:r>
      <w:r w:rsidR="002B68A6">
        <w:rPr>
          <w:rFonts w:ascii="Arial" w:hAnsi="Arial" w:cs="Arial"/>
          <w:b/>
          <w:bCs/>
          <w:iCs/>
        </w:rPr>
        <w:t>,</w:t>
      </w:r>
    </w:p>
    <w:p w14:paraId="744002EC" w14:textId="67BE6A59"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8B4BAD">
        <w:rPr>
          <w:rFonts w:ascii="Arial" w:hAnsi="Arial" w:cs="Arial"/>
          <w:b/>
          <w:iCs/>
        </w:rPr>
        <w:t>3</w:t>
      </w:r>
      <w:r w:rsidR="008B002E">
        <w:rPr>
          <w:rFonts w:ascii="Arial" w:hAnsi="Arial" w:cs="Arial"/>
          <w:b/>
          <w:iCs/>
        </w:rPr>
        <w:t>-MV-202</w:t>
      </w:r>
      <w:r w:rsidR="004066EE">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1D3B67A9"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3A4445">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50"/>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7C49C5B1" w14:textId="77777777" w:rsidR="00424BED" w:rsidRPr="003F51E1" w:rsidRDefault="00424BED" w:rsidP="00424BED">
      <w:pPr>
        <w:jc w:val="both"/>
        <w:rPr>
          <w:rFonts w:ascii="Arial" w:hAnsi="Arial" w:cs="Arial"/>
          <w:bCs/>
          <w:highlight w:val="yellow"/>
        </w:rPr>
      </w:pPr>
    </w:p>
    <w:p w14:paraId="35320BBE" w14:textId="0C973DC6"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4066EE">
        <w:rPr>
          <w:rFonts w:ascii="Arial" w:hAnsi="Arial" w:cs="Arial"/>
          <w:b/>
          <w:bCs/>
        </w:rPr>
        <w:t>05</w:t>
      </w:r>
      <w:r w:rsidR="002B68A6">
        <w:rPr>
          <w:rFonts w:ascii="Arial" w:hAnsi="Arial" w:cs="Arial"/>
          <w:b/>
          <w:bCs/>
        </w:rPr>
        <w:t>.</w:t>
      </w:r>
      <w:r w:rsidR="008B002E">
        <w:rPr>
          <w:rFonts w:ascii="Arial" w:hAnsi="Arial" w:cs="Arial"/>
          <w:b/>
          <w:bCs/>
        </w:rPr>
        <w:t>1</w:t>
      </w:r>
      <w:r w:rsidR="004066EE">
        <w:rPr>
          <w:rFonts w:ascii="Arial" w:hAnsi="Arial" w:cs="Arial"/>
          <w:b/>
          <w:bCs/>
        </w:rPr>
        <w:t>2</w:t>
      </w:r>
      <w:r w:rsidR="008B002E">
        <w:rPr>
          <w:rFonts w:ascii="Arial" w:hAnsi="Arial" w:cs="Arial"/>
          <w:b/>
          <w:bCs/>
        </w:rPr>
        <w:t>.202</w:t>
      </w:r>
      <w:r w:rsidR="004066EE">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4066EE">
        <w:rPr>
          <w:rFonts w:ascii="Arial" w:hAnsi="Arial" w:cs="Arial"/>
          <w:b/>
          <w:bCs/>
        </w:rPr>
        <w:t>10</w:t>
      </w:r>
      <w:r w:rsidRPr="004E03D4">
        <w:rPr>
          <w:rFonts w:ascii="Arial" w:hAnsi="Arial" w:cs="Arial"/>
          <w:b/>
          <w:bCs/>
        </w:rPr>
        <w:t>:</w:t>
      </w:r>
      <w:r w:rsidR="008B002E">
        <w:rPr>
          <w:rFonts w:ascii="Arial" w:hAnsi="Arial" w:cs="Arial"/>
          <w:b/>
          <w:bCs/>
        </w:rPr>
        <w:t>00</w:t>
      </w:r>
      <w:r w:rsidR="00BD4DF3">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41D0198B" w14:textId="54C6DF2B"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DC537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 </w:t>
      </w:r>
      <w:bookmarkEnd w:id="95"/>
      <w:bookmarkEnd w:id="96"/>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4"/>
    <w:bookmarkEnd w:id="105"/>
    <w:bookmarkEnd w:id="106"/>
    <w:bookmarkEnd w:id="107"/>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2E2DD765" w14:textId="77777777" w:rsidR="009D0DE4" w:rsidRPr="005A0A1E" w:rsidRDefault="009D0DE4" w:rsidP="009D0DE4">
      <w:pPr>
        <w:ind w:left="927"/>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Pr="009D0DE4" w:rsidRDefault="00424BED" w:rsidP="00424BED">
      <w:pPr>
        <w:ind w:firstLine="708"/>
        <w:rPr>
          <w:rFonts w:ascii="Arial" w:hAnsi="Arial" w:cs="Arial"/>
        </w:rPr>
      </w:pPr>
    </w:p>
    <w:p w14:paraId="6CE69589" w14:textId="0C223BF7" w:rsidR="00424BED" w:rsidRPr="0046323E" w:rsidRDefault="009D0DE4" w:rsidP="009D0DE4">
      <w:pPr>
        <w:rPr>
          <w:rFonts w:ascii="Arial" w:hAnsi="Arial" w:cs="Arial"/>
        </w:rPr>
      </w:pPr>
      <w:r>
        <w:rPr>
          <w:rFonts w:ascii="Arial" w:hAnsi="Arial" w:cs="Arial"/>
        </w:rPr>
        <w:t xml:space="preserve">                                                                   </w:t>
      </w:r>
      <w:r w:rsidRPr="009D0DE4">
        <w:rPr>
          <w:rFonts w:ascii="Arial" w:hAnsi="Arial" w:cs="Arial"/>
        </w:rPr>
        <w:t>izv.prof.dr.sc</w:t>
      </w:r>
      <w:r>
        <w:rPr>
          <w:rFonts w:ascii="Arial" w:hAnsi="Arial" w:cs="Arial"/>
        </w:rPr>
        <w:t xml:space="preserve">. </w:t>
      </w:r>
      <w:r w:rsidR="0046323E" w:rsidRPr="0046323E">
        <w:rPr>
          <w:rFonts w:ascii="Arial" w:hAnsi="Arial" w:cs="Arial"/>
        </w:rPr>
        <w:t>Željko Linšak, dipl.sanit.ing</w:t>
      </w:r>
    </w:p>
    <w:p w14:paraId="6503A0BA" w14:textId="77777777" w:rsidR="00424BED" w:rsidRPr="009D0DE4" w:rsidRDefault="00424BED" w:rsidP="00424BED">
      <w:pPr>
        <w:ind w:firstLine="708"/>
        <w:rPr>
          <w:rFonts w:ascii="Arial" w:hAnsi="Arial" w:cs="Arial"/>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2"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4" w:name="_Toc322002682"/>
      <w:bookmarkEnd w:id="108"/>
      <w:bookmarkEnd w:id="109"/>
      <w:bookmarkEnd w:id="112"/>
      <w:r w:rsidRPr="00F109D3">
        <w:rPr>
          <w:rFonts w:ascii="Arial" w:hAnsi="Arial" w:cs="Arial"/>
          <w:b/>
        </w:rPr>
        <w:t xml:space="preserve"> </w:t>
      </w:r>
      <w:bookmarkEnd w:id="110"/>
      <w:bookmarkEnd w:id="114"/>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416CE44B"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w:t>
            </w:r>
            <w:r w:rsidR="004066EE">
              <w:rPr>
                <w:rFonts w:ascii="Arial" w:hAnsi="Arial" w:cs="Arial"/>
              </w:rPr>
              <w:t>60</w:t>
            </w:r>
            <w:r w:rsidRPr="00633251">
              <w:rPr>
                <w:rFonts w:ascii="Arial" w:hAnsi="Arial" w:cs="Arial"/>
              </w:rPr>
              <w:t>_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5"/>
    <w:bookmarkEnd w:id="116"/>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4066EE">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C8F9144"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4066EE">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4066EE">
        <w:rPr>
          <w:rFonts w:ascii="Arial" w:hAnsi="Arial" w:cs="Arial"/>
          <w:bCs/>
          <w:u w:val="single"/>
        </w:rPr>
        <w:t>(priložiti/popuniti samo u slučaju ako se dio ugovora ustupa podugovarateljima</w:t>
      </w:r>
      <w:r w:rsidRPr="004066EE">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1E967FAD"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4066EE">
        <w:rPr>
          <w:rFonts w:ascii="Arial" w:hAnsi="Arial" w:cs="Arial"/>
          <w:bCs/>
        </w:rPr>
        <w:t>25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18A0DCCB"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4066EE">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860817498">
    <w:abstractNumId w:val="13"/>
  </w:num>
  <w:num w:numId="2" w16cid:durableId="1920794784">
    <w:abstractNumId w:val="11"/>
  </w:num>
  <w:num w:numId="3" w16cid:durableId="253168310">
    <w:abstractNumId w:val="26"/>
  </w:num>
  <w:num w:numId="4" w16cid:durableId="612442589">
    <w:abstractNumId w:val="6"/>
  </w:num>
  <w:num w:numId="5" w16cid:durableId="1076436381">
    <w:abstractNumId w:val="20"/>
  </w:num>
  <w:num w:numId="6" w16cid:durableId="1328441040">
    <w:abstractNumId w:val="12"/>
  </w:num>
  <w:num w:numId="7" w16cid:durableId="155147025">
    <w:abstractNumId w:val="17"/>
  </w:num>
  <w:num w:numId="8" w16cid:durableId="1293250118">
    <w:abstractNumId w:val="2"/>
  </w:num>
  <w:num w:numId="9" w16cid:durableId="1191072911">
    <w:abstractNumId w:val="24"/>
  </w:num>
  <w:num w:numId="10" w16cid:durableId="891771357">
    <w:abstractNumId w:val="7"/>
  </w:num>
  <w:num w:numId="11" w16cid:durableId="1895700666">
    <w:abstractNumId w:val="25"/>
  </w:num>
  <w:num w:numId="12" w16cid:durableId="516190698">
    <w:abstractNumId w:val="19"/>
  </w:num>
  <w:num w:numId="13" w16cid:durableId="110708613">
    <w:abstractNumId w:val="4"/>
  </w:num>
  <w:num w:numId="14" w16cid:durableId="1552496464">
    <w:abstractNumId w:val="18"/>
  </w:num>
  <w:num w:numId="15" w16cid:durableId="1967857698">
    <w:abstractNumId w:val="10"/>
  </w:num>
  <w:num w:numId="16" w16cid:durableId="406267723">
    <w:abstractNumId w:val="16"/>
  </w:num>
  <w:num w:numId="17" w16cid:durableId="2065715099">
    <w:abstractNumId w:val="22"/>
  </w:num>
  <w:num w:numId="18" w16cid:durableId="1692150615">
    <w:abstractNumId w:val="5"/>
  </w:num>
  <w:num w:numId="19" w16cid:durableId="144788491">
    <w:abstractNumId w:val="23"/>
  </w:num>
  <w:num w:numId="20" w16cid:durableId="1251425271">
    <w:abstractNumId w:val="8"/>
  </w:num>
  <w:num w:numId="21" w16cid:durableId="1554735820">
    <w:abstractNumId w:val="14"/>
  </w:num>
  <w:num w:numId="22" w16cid:durableId="1191140507">
    <w:abstractNumId w:val="15"/>
  </w:num>
  <w:num w:numId="23" w16cid:durableId="1166434691">
    <w:abstractNumId w:val="1"/>
  </w:num>
  <w:num w:numId="24" w16cid:durableId="462777483">
    <w:abstractNumId w:val="21"/>
  </w:num>
  <w:num w:numId="25" w16cid:durableId="1905068775">
    <w:abstractNumId w:val="0"/>
  </w:num>
  <w:num w:numId="26" w16cid:durableId="2066752114">
    <w:abstractNumId w:val="9"/>
  </w:num>
  <w:num w:numId="27" w16cid:durableId="867571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B25B5"/>
    <w:rsid w:val="001B262C"/>
    <w:rsid w:val="001B6B5E"/>
    <w:rsid w:val="001D6D33"/>
    <w:rsid w:val="0021332C"/>
    <w:rsid w:val="00261ACD"/>
    <w:rsid w:val="00284C85"/>
    <w:rsid w:val="00286074"/>
    <w:rsid w:val="002B68A6"/>
    <w:rsid w:val="002D3B5B"/>
    <w:rsid w:val="002E040F"/>
    <w:rsid w:val="002E09C2"/>
    <w:rsid w:val="00371C69"/>
    <w:rsid w:val="003A0E20"/>
    <w:rsid w:val="003A4445"/>
    <w:rsid w:val="003C0CA3"/>
    <w:rsid w:val="003C4A02"/>
    <w:rsid w:val="003C7180"/>
    <w:rsid w:val="003C73D3"/>
    <w:rsid w:val="004066EE"/>
    <w:rsid w:val="00424BED"/>
    <w:rsid w:val="00425DF3"/>
    <w:rsid w:val="004365EF"/>
    <w:rsid w:val="0046323E"/>
    <w:rsid w:val="004A60E6"/>
    <w:rsid w:val="004A624A"/>
    <w:rsid w:val="004A7C92"/>
    <w:rsid w:val="0050230D"/>
    <w:rsid w:val="00523FD2"/>
    <w:rsid w:val="005A0A1E"/>
    <w:rsid w:val="005B4533"/>
    <w:rsid w:val="005B5700"/>
    <w:rsid w:val="005D1F24"/>
    <w:rsid w:val="005E695F"/>
    <w:rsid w:val="006149CA"/>
    <w:rsid w:val="006A079F"/>
    <w:rsid w:val="006B6353"/>
    <w:rsid w:val="006B7A6A"/>
    <w:rsid w:val="00723FBA"/>
    <w:rsid w:val="00834A4D"/>
    <w:rsid w:val="008368BA"/>
    <w:rsid w:val="00883477"/>
    <w:rsid w:val="0088581B"/>
    <w:rsid w:val="008B002E"/>
    <w:rsid w:val="008B4BAD"/>
    <w:rsid w:val="008C4C54"/>
    <w:rsid w:val="008F5FF4"/>
    <w:rsid w:val="009303F9"/>
    <w:rsid w:val="0098024C"/>
    <w:rsid w:val="00991F40"/>
    <w:rsid w:val="009A25D2"/>
    <w:rsid w:val="009D0DE4"/>
    <w:rsid w:val="00A23021"/>
    <w:rsid w:val="00A24D27"/>
    <w:rsid w:val="00A47E9E"/>
    <w:rsid w:val="00A83BB0"/>
    <w:rsid w:val="00B0276E"/>
    <w:rsid w:val="00B26B39"/>
    <w:rsid w:val="00B43252"/>
    <w:rsid w:val="00BA7FB0"/>
    <w:rsid w:val="00BB1984"/>
    <w:rsid w:val="00BD3E04"/>
    <w:rsid w:val="00BD4DF3"/>
    <w:rsid w:val="00BF2C9B"/>
    <w:rsid w:val="00C53399"/>
    <w:rsid w:val="00C715BE"/>
    <w:rsid w:val="00C917EC"/>
    <w:rsid w:val="00CA2CA7"/>
    <w:rsid w:val="00CB595C"/>
    <w:rsid w:val="00D06887"/>
    <w:rsid w:val="00D15963"/>
    <w:rsid w:val="00D206C9"/>
    <w:rsid w:val="00D863AC"/>
    <w:rsid w:val="00D94505"/>
    <w:rsid w:val="00D9569F"/>
    <w:rsid w:val="00DA0B22"/>
    <w:rsid w:val="00DB17AC"/>
    <w:rsid w:val="00DC5372"/>
    <w:rsid w:val="00DE1654"/>
    <w:rsid w:val="00DE46F9"/>
    <w:rsid w:val="00DE4D33"/>
    <w:rsid w:val="00E5217F"/>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29</cp:revision>
  <cp:lastPrinted>2023-11-10T09:46:00Z</cp:lastPrinted>
  <dcterms:created xsi:type="dcterms:W3CDTF">2023-05-16T13:59:00Z</dcterms:created>
  <dcterms:modified xsi:type="dcterms:W3CDTF">2025-11-27T09:54:00Z</dcterms:modified>
</cp:coreProperties>
</file>