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F767" w14:textId="77777777" w:rsidR="001D6D33" w:rsidRPr="008E39AE" w:rsidRDefault="001D6D33" w:rsidP="008E39AE">
      <w:pPr>
        <w:rPr>
          <w:rFonts w:ascii="Arial" w:eastAsia="SimSun" w:hAnsi="Arial" w:cs="Arial"/>
          <w:b/>
          <w:bCs/>
          <w:lang w:eastAsia="zh-CN"/>
        </w:rPr>
      </w:pPr>
      <w:r w:rsidRPr="008E39AE">
        <w:rPr>
          <w:rFonts w:ascii="Arial" w:eastAsia="SimSun" w:hAnsi="Arial" w:cs="Arial"/>
          <w:b/>
          <w:bCs/>
          <w:lang w:eastAsia="zh-CN"/>
        </w:rPr>
        <w:t>NASTAVNI ZAVOD ZA JAVNO ZDRAVSTVO</w:t>
      </w:r>
    </w:p>
    <w:p w14:paraId="7C43FF6C" w14:textId="5C1C24C9" w:rsidR="001D6D33" w:rsidRPr="008E39AE" w:rsidRDefault="001D6D33" w:rsidP="001D6D33">
      <w:pPr>
        <w:rPr>
          <w:rFonts w:ascii="Arial" w:eastAsia="SimSun" w:hAnsi="Arial" w:cs="Arial"/>
          <w:b/>
          <w:bCs/>
          <w:lang w:eastAsia="zh-CN"/>
        </w:rPr>
      </w:pPr>
      <w:r w:rsidRPr="008E39AE">
        <w:rPr>
          <w:rFonts w:ascii="Arial" w:eastAsia="SimSun" w:hAnsi="Arial" w:cs="Arial"/>
          <w:b/>
          <w:bCs/>
          <w:lang w:eastAsia="zh-CN"/>
        </w:rPr>
        <w:t>PRIMORSKO</w:t>
      </w:r>
      <w:r w:rsidR="00286074" w:rsidRPr="008E39AE">
        <w:rPr>
          <w:rFonts w:ascii="Arial" w:eastAsia="SimSun" w:hAnsi="Arial" w:cs="Arial"/>
          <w:b/>
          <w:bCs/>
          <w:lang w:eastAsia="zh-CN"/>
        </w:rPr>
        <w:t>-</w:t>
      </w:r>
      <w:r w:rsidRPr="008E39AE">
        <w:rPr>
          <w:rFonts w:ascii="Arial" w:eastAsia="SimSun" w:hAnsi="Arial" w:cs="Arial"/>
          <w:b/>
          <w:bCs/>
          <w:lang w:eastAsia="zh-CN"/>
        </w:rPr>
        <w:t>GORANSKE ŽUPANIJE</w:t>
      </w:r>
    </w:p>
    <w:p w14:paraId="57AAD834" w14:textId="77777777" w:rsidR="001D6D33" w:rsidRPr="008E39AE" w:rsidRDefault="001D6D33" w:rsidP="001D6D33">
      <w:pPr>
        <w:rPr>
          <w:rFonts w:ascii="Arial" w:eastAsia="SimSun" w:hAnsi="Arial" w:cs="Arial"/>
          <w:b/>
          <w:bCs/>
          <w:lang w:eastAsia="zh-CN"/>
        </w:rPr>
      </w:pPr>
      <w:r w:rsidRPr="008E39AE">
        <w:rPr>
          <w:rFonts w:ascii="Arial" w:eastAsia="SimSun" w:hAnsi="Arial" w:cs="Arial"/>
          <w:b/>
          <w:bCs/>
          <w:lang w:eastAsia="zh-CN"/>
        </w:rPr>
        <w:t xml:space="preserve">Krešimirova 52a </w:t>
      </w:r>
    </w:p>
    <w:p w14:paraId="533BB63B" w14:textId="2C129C7D" w:rsidR="001D6D33" w:rsidRPr="008E39AE" w:rsidRDefault="001D6D33" w:rsidP="001D6D33">
      <w:pPr>
        <w:rPr>
          <w:rFonts w:ascii="Arial" w:eastAsia="SimSun" w:hAnsi="Arial" w:cs="Arial"/>
          <w:b/>
          <w:bCs/>
          <w:lang w:eastAsia="zh-CN"/>
        </w:rPr>
      </w:pPr>
      <w:r w:rsidRPr="008E39AE">
        <w:rPr>
          <w:rFonts w:ascii="Arial" w:eastAsia="SimSun" w:hAnsi="Arial" w:cs="Arial"/>
          <w:b/>
          <w:bCs/>
          <w:lang w:eastAsia="zh-CN"/>
        </w:rPr>
        <w:t>51000 Rijeka</w:t>
      </w:r>
    </w:p>
    <w:p w14:paraId="610A25AD" w14:textId="7AC5A665" w:rsidR="00883477" w:rsidRPr="008E39AE" w:rsidRDefault="00883477" w:rsidP="001D6D33">
      <w:pPr>
        <w:rPr>
          <w:rFonts w:ascii="Arial" w:eastAsia="SimSun" w:hAnsi="Arial" w:cs="Arial"/>
          <w:b/>
          <w:bCs/>
          <w:lang w:eastAsia="zh-CN"/>
        </w:rPr>
      </w:pPr>
      <w:r w:rsidRPr="008E39AE">
        <w:rPr>
          <w:rFonts w:ascii="Arial" w:eastAsia="SimSun" w:hAnsi="Arial" w:cs="Arial"/>
          <w:b/>
          <w:bCs/>
          <w:lang w:eastAsia="zh-CN"/>
        </w:rPr>
        <w:t>OIB: 45613787772</w:t>
      </w:r>
    </w:p>
    <w:tbl>
      <w:tblPr>
        <w:tblW w:w="10031" w:type="dxa"/>
        <w:tblLayout w:type="fixed"/>
        <w:tblLook w:val="0000" w:firstRow="0" w:lastRow="0" w:firstColumn="0" w:lastColumn="0" w:noHBand="0" w:noVBand="0"/>
      </w:tblPr>
      <w:tblGrid>
        <w:gridCol w:w="10031"/>
      </w:tblGrid>
      <w:tr w:rsidR="00424BED" w:rsidRPr="008E39AE" w14:paraId="65BAD990" w14:textId="77777777" w:rsidTr="005B5700">
        <w:tc>
          <w:tcPr>
            <w:tcW w:w="10031" w:type="dxa"/>
          </w:tcPr>
          <w:p w14:paraId="47716EF7" w14:textId="02E3532E" w:rsidR="00424BED" w:rsidRPr="008E39AE" w:rsidRDefault="00424BED" w:rsidP="005B5700">
            <w:pPr>
              <w:pStyle w:val="Header"/>
              <w:rPr>
                <w:b/>
                <w:i/>
              </w:rPr>
            </w:pPr>
            <w:r w:rsidRPr="008E39AE">
              <w:rPr>
                <w:b/>
                <w:i/>
              </w:rPr>
              <w:t xml:space="preserve">                           </w:t>
            </w:r>
          </w:p>
        </w:tc>
      </w:tr>
    </w:tbl>
    <w:p w14:paraId="189686CF" w14:textId="318C6A62" w:rsidR="00B43252" w:rsidRDefault="008C4C54" w:rsidP="00424BED">
      <w:pPr>
        <w:rPr>
          <w:rFonts w:ascii="Arial" w:hAnsi="Arial" w:cs="Arial"/>
        </w:rPr>
      </w:pPr>
      <w:r>
        <w:rPr>
          <w:rFonts w:ascii="Arial" w:hAnsi="Arial" w:cs="Arial"/>
        </w:rPr>
        <w:t xml:space="preserve">Broj: </w:t>
      </w:r>
      <w:r w:rsidR="00992CB8">
        <w:rPr>
          <w:rFonts w:ascii="Arial" w:hAnsi="Arial" w:cs="Arial"/>
        </w:rPr>
        <w:t>7</w:t>
      </w:r>
      <w:r w:rsidR="00B43252">
        <w:rPr>
          <w:rFonts w:ascii="Arial" w:hAnsi="Arial" w:cs="Arial"/>
        </w:rPr>
        <w:t>-MV-202</w:t>
      </w:r>
      <w:r w:rsidR="003D2A1B">
        <w:rPr>
          <w:rFonts w:ascii="Arial" w:hAnsi="Arial" w:cs="Arial"/>
        </w:rPr>
        <w:t>6</w:t>
      </w:r>
      <w:r w:rsidR="00B43252">
        <w:rPr>
          <w:rFonts w:ascii="Arial" w:hAnsi="Arial" w:cs="Arial"/>
        </w:rPr>
        <w:t>/2</w:t>
      </w:r>
    </w:p>
    <w:p w14:paraId="63D6D312" w14:textId="169BE4FF" w:rsidR="00424BED" w:rsidRDefault="00424BED" w:rsidP="00474BE8">
      <w:pPr>
        <w:tabs>
          <w:tab w:val="left" w:pos="2940"/>
        </w:tabs>
        <w:rPr>
          <w:rFonts w:ascii="Arial" w:hAnsi="Arial" w:cs="Arial"/>
        </w:rPr>
      </w:pPr>
      <w:r w:rsidRPr="00A34EF9">
        <w:rPr>
          <w:rFonts w:ascii="Arial" w:hAnsi="Arial" w:cs="Arial"/>
        </w:rPr>
        <w:t xml:space="preserve">Rijeka, </w:t>
      </w:r>
      <w:r w:rsidR="003D2A1B">
        <w:rPr>
          <w:rFonts w:ascii="Arial" w:hAnsi="Arial" w:cs="Arial"/>
        </w:rPr>
        <w:t>2</w:t>
      </w:r>
      <w:r w:rsidR="00177777">
        <w:rPr>
          <w:rFonts w:ascii="Arial" w:hAnsi="Arial" w:cs="Arial"/>
        </w:rPr>
        <w:t>7</w:t>
      </w:r>
      <w:r w:rsidR="00B43252">
        <w:rPr>
          <w:rFonts w:ascii="Arial" w:hAnsi="Arial" w:cs="Arial"/>
        </w:rPr>
        <w:t>.11.202</w:t>
      </w:r>
      <w:r w:rsidR="003D2A1B">
        <w:rPr>
          <w:rFonts w:ascii="Arial" w:hAnsi="Arial" w:cs="Arial"/>
        </w:rPr>
        <w:t>5</w:t>
      </w:r>
      <w:r w:rsidR="00B43252">
        <w:rPr>
          <w:rFonts w:ascii="Arial" w:hAnsi="Arial" w:cs="Arial"/>
        </w:rPr>
        <w:t>.</w:t>
      </w:r>
      <w:r w:rsidR="00474BE8">
        <w:rPr>
          <w:rFonts w:ascii="Arial" w:hAnsi="Arial" w:cs="Arial"/>
        </w:rPr>
        <w:tab/>
      </w:r>
    </w:p>
    <w:p w14:paraId="29D65815" w14:textId="77777777" w:rsidR="00424BED" w:rsidRDefault="00424BED" w:rsidP="00424BED">
      <w:pPr>
        <w:pStyle w:val="Style9"/>
        <w:widowControl/>
        <w:spacing w:before="19"/>
        <w:jc w:val="both"/>
        <w:rPr>
          <w:rFonts w:cs="Arial"/>
        </w:rPr>
      </w:pPr>
    </w:p>
    <w:p w14:paraId="1D7DC188" w14:textId="77777777" w:rsidR="008E39AE" w:rsidRPr="005D0715" w:rsidRDefault="008E39AE" w:rsidP="008E39AE">
      <w:pPr>
        <w:jc w:val="center"/>
        <w:rPr>
          <w:rFonts w:ascii="Arial" w:eastAsia="SimSun" w:hAnsi="Arial" w:cs="Arial"/>
          <w:lang w:eastAsia="zh-CN"/>
        </w:rPr>
      </w:pPr>
    </w:p>
    <w:p w14:paraId="7C764762" w14:textId="7F9BA97A" w:rsidR="008E39AE" w:rsidRDefault="008E39AE" w:rsidP="008E39AE">
      <w:pPr>
        <w:rPr>
          <w:rFonts w:ascii="Arial" w:eastAsia="SimSun" w:hAnsi="Arial" w:cs="Arial"/>
          <w:lang w:eastAsia="zh-CN"/>
        </w:rPr>
      </w:pPr>
      <w:r w:rsidRPr="005D071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Pr>
          <w:rFonts w:ascii="Arial" w:eastAsia="SimSun" w:hAnsi="Arial" w:cs="Arial"/>
          <w:lang w:eastAsia="zh-CN"/>
        </w:rPr>
        <w:t>2</w:t>
      </w:r>
      <w:r w:rsidR="00177777">
        <w:rPr>
          <w:rFonts w:ascii="Arial" w:eastAsia="SimSun" w:hAnsi="Arial" w:cs="Arial"/>
          <w:lang w:eastAsia="zh-CN"/>
        </w:rPr>
        <w:t>7</w:t>
      </w:r>
      <w:r>
        <w:rPr>
          <w:rFonts w:ascii="Arial" w:eastAsia="SimSun" w:hAnsi="Arial" w:cs="Arial"/>
          <w:lang w:eastAsia="zh-CN"/>
        </w:rPr>
        <w:t>.11</w:t>
      </w:r>
      <w:r w:rsidRPr="005D0715">
        <w:rPr>
          <w:rFonts w:ascii="Arial" w:eastAsia="SimSun" w:hAnsi="Arial" w:cs="Arial"/>
          <w:lang w:eastAsia="zh-CN"/>
        </w:rPr>
        <w:t>.2025. godine upućuje Vam slijedeći</w:t>
      </w:r>
    </w:p>
    <w:p w14:paraId="0F08D3E9" w14:textId="77777777" w:rsidR="00424BED" w:rsidRPr="00A34EF9" w:rsidRDefault="00424BED"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32B0E875" w14:textId="17E9EF6B" w:rsidR="00424BED" w:rsidRPr="00316618" w:rsidRDefault="00424BED" w:rsidP="008B002E">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424BED">
      <w:pPr>
        <w:pStyle w:val="Heading2"/>
        <w:numPr>
          <w:ilvl w:val="0"/>
          <w:numId w:val="0"/>
        </w:numPr>
        <w:spacing w:after="0"/>
        <w:ind w:left="36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58616F27" w14:textId="593C2DE4" w:rsidR="00424BED"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E65D3A">
        <w:rPr>
          <w:rFonts w:ascii="Arial" w:hAnsi="Arial" w:cs="Arial"/>
          <w:i/>
        </w:rPr>
        <w:t xml:space="preserve"> u papirnom o</w:t>
      </w:r>
      <w:r>
        <w:rPr>
          <w:rFonts w:ascii="Arial" w:hAnsi="Arial" w:cs="Arial"/>
          <w:i/>
        </w:rPr>
        <w:t>b</w:t>
      </w:r>
      <w:r w:rsidRPr="00E65D3A">
        <w:rPr>
          <w:rFonts w:ascii="Arial" w:hAnsi="Arial" w:cs="Arial"/>
          <w:i/>
        </w:rPr>
        <w:t>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p>
    <w:p w14:paraId="74B967DB" w14:textId="3E0C07EE"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3D2A1B">
        <w:rPr>
          <w:rFonts w:ascii="Arial" w:hAnsi="Arial" w:cs="Arial"/>
        </w:rPr>
        <w:t>povjerenstvo.nabava</w:t>
      </w:r>
      <w:r w:rsidR="0089678E">
        <w:rPr>
          <w:rFonts w:ascii="Arial" w:hAnsi="Arial" w:cs="Arial"/>
        </w:rPr>
        <w:t>@zzjzpgz.hr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27F46BB8" w:rsidR="00424BED" w:rsidRPr="00905995" w:rsidRDefault="00424BED" w:rsidP="00424BED">
      <w:pPr>
        <w:pStyle w:val="Heading2"/>
        <w:numPr>
          <w:ilvl w:val="0"/>
          <w:numId w:val="0"/>
        </w:numPr>
        <w:spacing w:after="0"/>
        <w:ind w:left="284"/>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79C95CC4" w:rsidR="00424BED" w:rsidRPr="00905995" w:rsidRDefault="00424BED" w:rsidP="00424BED">
      <w:pPr>
        <w:rPr>
          <w:rFonts w:ascii="Arial" w:hAnsi="Arial" w:cs="Arial"/>
        </w:rPr>
      </w:pPr>
      <w:r w:rsidRPr="00905995">
        <w:rPr>
          <w:rFonts w:ascii="Arial" w:hAnsi="Arial" w:cs="Arial"/>
        </w:rPr>
        <w:t xml:space="preserve">Kontakt osoba: </w:t>
      </w:r>
      <w:r w:rsidR="0089678E">
        <w:rPr>
          <w:rFonts w:ascii="Arial" w:hAnsi="Arial" w:cs="Arial"/>
        </w:rPr>
        <w:t>Mari</w:t>
      </w:r>
      <w:r w:rsidR="00B61922">
        <w:rPr>
          <w:rFonts w:ascii="Arial" w:hAnsi="Arial" w:cs="Arial"/>
        </w:rPr>
        <w:t>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49BADAFD"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3D2A1B">
        <w:rPr>
          <w:rFonts w:ascii="Arial" w:hAnsi="Arial" w:cs="Arial"/>
        </w:rPr>
        <w:t>povjerenstvo.nabava</w:t>
      </w:r>
      <w:r w:rsidR="0089678E">
        <w:rPr>
          <w:rFonts w:ascii="Arial" w:hAnsi="Arial" w:cs="Arial"/>
        </w:rPr>
        <w:t>@zzjzpgz.hr</w:t>
      </w:r>
    </w:p>
    <w:p w14:paraId="472F05C2" w14:textId="77777777" w:rsidR="00424BED" w:rsidRPr="00905995" w:rsidRDefault="00424BED" w:rsidP="00424BED">
      <w:pPr>
        <w:rPr>
          <w:rFonts w:ascii="Arial" w:hAnsi="Arial" w:cs="Arial"/>
        </w:rPr>
      </w:pPr>
    </w:p>
    <w:p w14:paraId="055F9BFA" w14:textId="04FF5839" w:rsidR="00424BED" w:rsidRPr="00883477" w:rsidRDefault="00424BED" w:rsidP="00424BED">
      <w:pPr>
        <w:pStyle w:val="Heading2"/>
        <w:numPr>
          <w:ilvl w:val="1"/>
          <w:numId w:val="6"/>
        </w:numPr>
        <w:spacing w:after="0"/>
        <w:jc w:val="both"/>
        <w:rPr>
          <w:rFonts w:ascii="Arial" w:hAnsi="Arial" w:cs="Arial"/>
          <w:lang w:val="hr-HR"/>
        </w:rPr>
      </w:pPr>
      <w:bookmarkStart w:id="8" w:name="_Toc344472594"/>
      <w:bookmarkStart w:id="9" w:name="_Toc370199120"/>
      <w:r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992CB8">
        <w:rPr>
          <w:rFonts w:ascii="Arial" w:hAnsi="Arial" w:cs="Arial"/>
          <w:b w:val="0"/>
          <w:bCs w:val="0"/>
          <w:lang w:val="hr-HR"/>
        </w:rPr>
        <w:t>7</w:t>
      </w:r>
      <w:r w:rsidR="001B6B5E" w:rsidRPr="00883477">
        <w:rPr>
          <w:rFonts w:ascii="Arial" w:hAnsi="Arial" w:cs="Arial"/>
          <w:b w:val="0"/>
          <w:bCs w:val="0"/>
          <w:lang w:val="hr-HR"/>
        </w:rPr>
        <w:t>-MV-202</w:t>
      </w:r>
      <w:r w:rsidR="003D2A1B">
        <w:rPr>
          <w:rFonts w:ascii="Arial" w:hAnsi="Arial" w:cs="Arial"/>
          <w:b w:val="0"/>
          <w:bCs w:val="0"/>
          <w:lang w:val="hr-HR"/>
        </w:rPr>
        <w:t>6</w:t>
      </w:r>
    </w:p>
    <w:p w14:paraId="3FEF71CE" w14:textId="77777777" w:rsidR="00424BED" w:rsidRPr="00905995" w:rsidRDefault="00424BED" w:rsidP="00424BED"/>
    <w:p w14:paraId="106CB9B8" w14:textId="3C2C2DAD" w:rsidR="00424BED" w:rsidRDefault="00424BED" w:rsidP="002B68A6">
      <w:pPr>
        <w:pStyle w:val="Heading2"/>
        <w:numPr>
          <w:ilvl w:val="1"/>
          <w:numId w:val="6"/>
        </w:numPr>
        <w:spacing w:after="0"/>
        <w:jc w:val="both"/>
        <w:rPr>
          <w:rFonts w:ascii="Arial" w:hAnsi="Arial" w:cs="Arial"/>
          <w:lang w:val="hr-HR"/>
        </w:rPr>
      </w:pPr>
      <w:bookmarkStart w:id="10" w:name="_Toc344472597"/>
      <w:bookmarkStart w:id="11" w:name="_Toc353196611"/>
      <w:bookmarkStart w:id="12" w:name="_Toc370199123"/>
      <w:r>
        <w:rPr>
          <w:rFonts w:ascii="Arial" w:hAnsi="Arial" w:cs="Arial"/>
          <w:lang w:val="hr-HR"/>
        </w:rPr>
        <w:t>P</w:t>
      </w:r>
      <w:r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p>
    <w:p w14:paraId="43CFFC77" w14:textId="325CEE75" w:rsidR="002B68A6" w:rsidRPr="002B68A6" w:rsidRDefault="003D2A1B" w:rsidP="002B68A6">
      <w:pPr>
        <w:pStyle w:val="ListParagraph"/>
        <w:autoSpaceDE w:val="0"/>
        <w:autoSpaceDN w:val="0"/>
        <w:adjustRightInd w:val="0"/>
        <w:spacing w:line="276" w:lineRule="auto"/>
        <w:ind w:left="720"/>
        <w:jc w:val="both"/>
        <w:rPr>
          <w:rFonts w:ascii="Arial" w:hAnsi="Arial" w:cs="Arial"/>
          <w:bCs/>
          <w:iCs/>
        </w:rPr>
      </w:pPr>
      <w:r>
        <w:rPr>
          <w:rFonts w:ascii="Arial" w:hAnsi="Arial" w:cs="Arial"/>
          <w:bCs/>
          <w:iCs/>
        </w:rPr>
        <w:t xml:space="preserve">     </w:t>
      </w:r>
      <w:r w:rsidR="00992CB8">
        <w:rPr>
          <w:rFonts w:ascii="Arial" w:hAnsi="Arial" w:cs="Arial"/>
          <w:bCs/>
          <w:iCs/>
        </w:rPr>
        <w:t>13</w:t>
      </w:r>
      <w:r w:rsidR="00C02B1E">
        <w:rPr>
          <w:rFonts w:ascii="Arial" w:hAnsi="Arial" w:cs="Arial"/>
          <w:bCs/>
          <w:iCs/>
        </w:rPr>
        <w:t>.</w:t>
      </w:r>
      <w:r w:rsidR="00992CB8">
        <w:rPr>
          <w:rFonts w:ascii="Arial" w:hAnsi="Arial" w:cs="Arial"/>
          <w:bCs/>
          <w:iCs/>
        </w:rPr>
        <w:t>8</w:t>
      </w:r>
      <w:r w:rsidR="00C02B1E">
        <w:rPr>
          <w:rFonts w:ascii="Arial" w:hAnsi="Arial" w:cs="Arial"/>
          <w:bCs/>
          <w:iCs/>
        </w:rPr>
        <w:t>00</w:t>
      </w:r>
      <w:r w:rsidR="002B68A6" w:rsidRPr="002B68A6">
        <w:rPr>
          <w:rFonts w:ascii="Arial" w:hAnsi="Arial" w:cs="Arial"/>
          <w:bCs/>
          <w:iCs/>
        </w:rPr>
        <w:t>,00 eura (bez PDV-a).</w:t>
      </w:r>
    </w:p>
    <w:p w14:paraId="743C1101" w14:textId="119DD4CB" w:rsidR="00A05E7F" w:rsidRDefault="00C26785" w:rsidP="00C02B1E">
      <w:pPr>
        <w:autoSpaceDE w:val="0"/>
        <w:autoSpaceDN w:val="0"/>
        <w:adjustRightInd w:val="0"/>
        <w:spacing w:line="276" w:lineRule="auto"/>
        <w:jc w:val="both"/>
        <w:rPr>
          <w:rFonts w:ascii="Arial" w:hAnsi="Arial" w:cs="Arial"/>
          <w:bCs/>
          <w:iCs/>
        </w:rPr>
      </w:pPr>
      <w:r>
        <w:rPr>
          <w:rFonts w:ascii="Arial" w:hAnsi="Arial" w:cs="Arial"/>
          <w:bCs/>
          <w:iCs/>
        </w:rPr>
        <w:t>Nije dozvoljeno nuđenje po grupama.</w:t>
      </w:r>
    </w:p>
    <w:p w14:paraId="13BC8F3E" w14:textId="012B3067" w:rsidR="002B68A6" w:rsidRPr="002B68A6" w:rsidRDefault="002B68A6" w:rsidP="002B68A6"/>
    <w:p w14:paraId="361D868F" w14:textId="104CD337" w:rsidR="00424BED" w:rsidRPr="00A05E7F" w:rsidRDefault="00424BED" w:rsidP="00424BED">
      <w:pPr>
        <w:pStyle w:val="ListParagraph"/>
        <w:numPr>
          <w:ilvl w:val="1"/>
          <w:numId w:val="6"/>
        </w:numPr>
        <w:tabs>
          <w:tab w:val="num" w:pos="284"/>
        </w:tabs>
        <w:jc w:val="both"/>
        <w:rPr>
          <w:rFonts w:ascii="Arial" w:hAnsi="Arial" w:cs="Arial"/>
          <w:b/>
        </w:rPr>
      </w:pPr>
      <w:r w:rsidRPr="00316618">
        <w:rPr>
          <w:rFonts w:ascii="Arial" w:hAnsi="Arial" w:cs="Arial"/>
          <w:b/>
        </w:rPr>
        <w:t xml:space="preserve">Vrsta ugovora o nabavi: </w:t>
      </w:r>
      <w:r w:rsidRPr="00316618">
        <w:rPr>
          <w:rFonts w:ascii="Arial" w:hAnsi="Arial" w:cs="Arial"/>
        </w:rPr>
        <w:t>Ugovor</w:t>
      </w:r>
      <w:r>
        <w:rPr>
          <w:rFonts w:ascii="Arial" w:hAnsi="Arial" w:cs="Arial"/>
        </w:rPr>
        <w:t xml:space="preserve"> </w:t>
      </w:r>
      <w:r w:rsidRPr="00316618">
        <w:rPr>
          <w:rFonts w:ascii="Arial" w:hAnsi="Arial" w:cs="Arial"/>
        </w:rPr>
        <w:t xml:space="preserve">o </w:t>
      </w:r>
      <w:r w:rsidR="002B68A6">
        <w:rPr>
          <w:rFonts w:ascii="Arial" w:hAnsi="Arial" w:cs="Arial"/>
        </w:rPr>
        <w:t xml:space="preserve">nabavi </w:t>
      </w:r>
      <w:r w:rsidR="00C26785">
        <w:rPr>
          <w:rFonts w:ascii="Arial" w:hAnsi="Arial" w:cs="Arial"/>
        </w:rPr>
        <w:t>usluga.</w:t>
      </w:r>
    </w:p>
    <w:p w14:paraId="5EF818A8" w14:textId="77777777" w:rsidR="00A05E7F" w:rsidRPr="00A05E7F" w:rsidRDefault="00A05E7F" w:rsidP="00A05E7F">
      <w:pPr>
        <w:jc w:val="both"/>
        <w:rPr>
          <w:rFonts w:ascii="Arial" w:hAnsi="Arial" w:cs="Arial"/>
          <w:b/>
        </w:rPr>
      </w:pPr>
    </w:p>
    <w:p w14:paraId="25BFF710" w14:textId="77777777" w:rsidR="00424BED" w:rsidRDefault="00424BED" w:rsidP="00424BED">
      <w:pPr>
        <w:jc w:val="both"/>
        <w:rPr>
          <w:rFonts w:ascii="Arial" w:hAnsi="Arial" w:cs="Arial"/>
          <w:b/>
        </w:rPr>
      </w:pPr>
    </w:p>
    <w:p w14:paraId="51E26836" w14:textId="20D38409" w:rsidR="001B6B5E" w:rsidRPr="001B6B5E" w:rsidRDefault="00424BED" w:rsidP="001B6B5E">
      <w:pPr>
        <w:pStyle w:val="ListParagraph"/>
        <w:numPr>
          <w:ilvl w:val="1"/>
          <w:numId w:val="6"/>
        </w:num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P</w:t>
      </w:r>
      <w:r w:rsidRPr="00A94C67">
        <w:rPr>
          <w:rFonts w:ascii="Arial" w:hAnsi="Arial" w:cs="Arial"/>
          <w:b/>
        </w:rPr>
        <w:t>opis gospodarskih subjekata s kojima je naručitelj u sukobu interesa</w:t>
      </w:r>
      <w:bookmarkEnd w:id="13"/>
      <w:bookmarkEnd w:id="14"/>
      <w:bookmarkEnd w:id="15"/>
      <w:bookmarkEnd w:id="16"/>
      <w:r>
        <w:rPr>
          <w:rFonts w:ascii="Arial" w:hAnsi="Arial" w:cs="Arial"/>
          <w:b/>
        </w:rPr>
        <w:t>:</w:t>
      </w:r>
    </w:p>
    <w:p w14:paraId="1E8AE791" w14:textId="2BB0CE10" w:rsidR="001B6B5E" w:rsidRPr="001B6B5E" w:rsidRDefault="00B61922" w:rsidP="001B6B5E">
      <w:pPr>
        <w:pStyle w:val="ListParagraph"/>
        <w:ind w:left="1080"/>
        <w:jc w:val="both"/>
        <w:rPr>
          <w:rFonts w:ascii="Arial" w:hAnsi="Arial" w:cs="Arial"/>
          <w:bCs/>
        </w:rPr>
      </w:pPr>
      <w:r>
        <w:rPr>
          <w:rFonts w:ascii="Arial" w:hAnsi="Arial" w:cs="Arial"/>
          <w:bCs/>
        </w:rPr>
        <w:t>Objavljeno na web stranici Naručitelja.</w:t>
      </w:r>
    </w:p>
    <w:p w14:paraId="5865B29E" w14:textId="77777777" w:rsidR="00B0276E" w:rsidRPr="00B0276E" w:rsidRDefault="00B0276E" w:rsidP="00B0276E">
      <w:pPr>
        <w:pStyle w:val="ListParagraph"/>
        <w:rPr>
          <w:rFonts w:ascii="Arial" w:hAnsi="Arial" w:cs="Arial"/>
          <w:b/>
        </w:rPr>
      </w:pPr>
    </w:p>
    <w:p w14:paraId="2CDE8BE3" w14:textId="796AD93E" w:rsidR="00424BED" w:rsidRPr="00A05E7F" w:rsidRDefault="00B0276E" w:rsidP="00A05E7F">
      <w:pPr>
        <w:pStyle w:val="ListParagraph"/>
        <w:numPr>
          <w:ilvl w:val="1"/>
          <w:numId w:val="6"/>
        </w:numPr>
        <w:jc w:val="both"/>
        <w:rPr>
          <w:rFonts w:ascii="Arial" w:hAnsi="Arial" w:cs="Arial"/>
          <w:b/>
        </w:rPr>
      </w:pPr>
      <w:r>
        <w:rPr>
          <w:rFonts w:ascii="Arial" w:hAnsi="Arial" w:cs="Arial"/>
          <w:b/>
        </w:rPr>
        <w:lastRenderedPageBreak/>
        <w:t xml:space="preserve">Objavljena </w:t>
      </w:r>
      <w:r w:rsidR="00DE4D33">
        <w:rPr>
          <w:rFonts w:ascii="Arial" w:hAnsi="Arial" w:cs="Arial"/>
          <w:b/>
        </w:rPr>
        <w:t>obavijest o namjeri</w:t>
      </w:r>
      <w:r>
        <w:rPr>
          <w:rFonts w:ascii="Arial" w:hAnsi="Arial" w:cs="Arial"/>
          <w:b/>
        </w:rPr>
        <w:t xml:space="preserve"> o provedbi postupka</w:t>
      </w:r>
      <w:r w:rsidR="00DE4D33">
        <w:rPr>
          <w:rFonts w:ascii="Arial" w:hAnsi="Arial" w:cs="Arial"/>
          <w:b/>
        </w:rPr>
        <w:t xml:space="preserve"> jednostavne nabave:</w:t>
      </w:r>
      <w:r w:rsidR="001B6B5E">
        <w:rPr>
          <w:rFonts w:ascii="Arial" w:hAnsi="Arial" w:cs="Arial"/>
          <w:b/>
        </w:rPr>
        <w:t xml:space="preserve"> </w:t>
      </w:r>
      <w:r w:rsidR="001B6B5E" w:rsidRPr="001B6B5E">
        <w:rPr>
          <w:rFonts w:ascii="Arial" w:hAnsi="Arial" w:cs="Arial"/>
          <w:bCs/>
        </w:rPr>
        <w:t>Ne.</w:t>
      </w:r>
    </w:p>
    <w:p w14:paraId="70A94A6B" w14:textId="77777777" w:rsidR="00424BED" w:rsidRPr="00316618" w:rsidRDefault="00424BED" w:rsidP="00424BED">
      <w:pPr>
        <w:tabs>
          <w:tab w:val="num" w:pos="284"/>
        </w:tabs>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5FC41743" w:rsidR="00424BED" w:rsidRDefault="00424BED" w:rsidP="00424BED">
      <w:pPr>
        <w:pStyle w:val="Heading2"/>
        <w:numPr>
          <w:ilvl w:val="1"/>
          <w:numId w:val="7"/>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O</w:t>
      </w:r>
      <w:r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992CB8">
        <w:rPr>
          <w:rFonts w:ascii="Arial" w:hAnsi="Arial" w:cs="Arial"/>
          <w:b w:val="0"/>
          <w:bCs w:val="0"/>
          <w:lang w:val="hr-HR"/>
        </w:rPr>
        <w:t>Sistemski nadzor servera i pripadajuće mreže</w:t>
      </w:r>
    </w:p>
    <w:p w14:paraId="10CF9E9D" w14:textId="7BAB0CD8" w:rsidR="00B77D44" w:rsidRPr="00050F9F" w:rsidRDefault="00B77D44" w:rsidP="00050F9F">
      <w:pPr>
        <w:pStyle w:val="ListParagraph"/>
        <w:spacing w:before="100" w:beforeAutospacing="1" w:after="100" w:afterAutospacing="1"/>
        <w:ind w:left="720"/>
        <w:jc w:val="both"/>
        <w:rPr>
          <w:rFonts w:ascii="Arial" w:hAnsi="Arial" w:cs="Arial"/>
        </w:rPr>
      </w:pPr>
      <w:r w:rsidRPr="00B77D44">
        <w:rPr>
          <w:rFonts w:ascii="Arial" w:hAnsi="Arial" w:cs="Arial"/>
        </w:rPr>
        <w:t>Ponuditelj je sposoban ako u potpunosti zadovoljava sve stavke navedene u</w:t>
      </w:r>
      <w:r w:rsidR="00232E2B">
        <w:rPr>
          <w:rFonts w:ascii="Arial" w:hAnsi="Arial" w:cs="Arial"/>
        </w:rPr>
        <w:t xml:space="preserve"> </w:t>
      </w:r>
      <w:r w:rsidR="00050F9F">
        <w:rPr>
          <w:rFonts w:ascii="Arial" w:hAnsi="Arial" w:cs="Arial"/>
        </w:rPr>
        <w:t>prilogu br.1.(P</w:t>
      </w:r>
      <w:r w:rsidR="00050F9F" w:rsidRPr="00050F9F">
        <w:rPr>
          <w:rFonts w:ascii="Arial" w:hAnsi="Arial" w:cs="Arial"/>
        </w:rPr>
        <w:t>odrška i upravljanje informatičkim sustavom, podrška i savjetovanje vezano za održivost IT sustava naručitelja.</w:t>
      </w:r>
      <w:r w:rsidR="00050F9F">
        <w:rPr>
          <w:rFonts w:ascii="Arial" w:hAnsi="Arial" w:cs="Arial"/>
        </w:rPr>
        <w:t xml:space="preserve"> </w:t>
      </w:r>
      <w:r w:rsidRPr="00B77D44">
        <w:rPr>
          <w:rFonts w:ascii="Arial" w:hAnsi="Arial" w:cs="Arial"/>
        </w:rPr>
        <w:t>Ponuditelj mora omogućiti dostupnost monitoringa IT sustavom tijekom perioda trajanja ugovora. Usluga monitoringa IT sustava mora biti osigurana u neprekidnom periodu od 24 sata, 7 dana u tjednu tijekom trajanja ugovora. Udaljeno održavanje IT sustava naručitelja, ponuditelj mora osigurati putem RDS-a.</w:t>
      </w:r>
      <w:r w:rsidR="00050F9F">
        <w:rPr>
          <w:rFonts w:ascii="Arial" w:hAnsi="Arial" w:cs="Arial"/>
        </w:rPr>
        <w:t xml:space="preserve"> </w:t>
      </w:r>
      <w:r w:rsidRPr="00050F9F">
        <w:rPr>
          <w:rFonts w:ascii="Arial" w:hAnsi="Arial" w:cs="Arial"/>
        </w:rPr>
        <w:t>Ponuditelj mora imati certificirane osobe za izvršavanje ugovora</w:t>
      </w:r>
      <w:r w:rsidR="00050F9F">
        <w:rPr>
          <w:rFonts w:ascii="Arial" w:hAnsi="Arial" w:cs="Arial"/>
        </w:rPr>
        <w:t>).</w:t>
      </w:r>
    </w:p>
    <w:p w14:paraId="4E870CAD" w14:textId="33463E4D" w:rsidR="00424BED" w:rsidRPr="00B77D44" w:rsidRDefault="00B77D44" w:rsidP="00B77D44">
      <w:pPr>
        <w:pStyle w:val="ListParagraph"/>
        <w:spacing w:before="100" w:beforeAutospacing="1" w:after="100" w:afterAutospacing="1"/>
        <w:ind w:left="720"/>
        <w:jc w:val="both"/>
        <w:rPr>
          <w:rFonts w:ascii="Arial" w:hAnsi="Arial" w:cs="Arial"/>
        </w:rPr>
      </w:pPr>
      <w:r w:rsidRPr="00B77D44">
        <w:rPr>
          <w:rFonts w:ascii="Arial" w:hAnsi="Arial" w:cs="Arial"/>
          <w:bCs/>
        </w:rPr>
        <w:t xml:space="preserve">Mjesto isporuke: NZZJZ PGŽ.  </w:t>
      </w:r>
      <w:bookmarkStart w:id="20" w:name="_Toc344472603"/>
      <w:bookmarkStart w:id="21" w:name="_Toc353196617"/>
      <w:bookmarkStart w:id="22" w:name="_Toc370199130"/>
    </w:p>
    <w:p w14:paraId="2DFE33FF" w14:textId="6B73E1A6" w:rsidR="00424BED" w:rsidRPr="0046323E" w:rsidRDefault="00424BED" w:rsidP="00424BED">
      <w:pPr>
        <w:pStyle w:val="Heading2"/>
        <w:numPr>
          <w:ilvl w:val="1"/>
          <w:numId w:val="7"/>
        </w:numPr>
        <w:spacing w:after="0"/>
        <w:jc w:val="both"/>
        <w:rPr>
          <w:rFonts w:ascii="Arial" w:hAnsi="Arial" w:cs="Arial"/>
          <w:b w:val="0"/>
          <w:bCs w:val="0"/>
          <w:lang w:val="hr-HR"/>
        </w:rPr>
      </w:pPr>
      <w:r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1B6B5E" w:rsidRPr="00DE46F9">
        <w:rPr>
          <w:rFonts w:ascii="Arial" w:hAnsi="Arial" w:cs="Arial"/>
          <w:lang w:val="hr-HR"/>
        </w:rPr>
        <w:t xml:space="preserve"> </w:t>
      </w:r>
      <w:r w:rsidR="00B77D44">
        <w:rPr>
          <w:rFonts w:ascii="Arial" w:hAnsi="Arial" w:cs="Arial"/>
          <w:b w:val="0"/>
          <w:bCs w:val="0"/>
          <w:lang w:val="hr-HR"/>
        </w:rPr>
        <w:t>Navedeno u</w:t>
      </w:r>
      <w:r w:rsidR="00B61922">
        <w:rPr>
          <w:rFonts w:ascii="Arial" w:hAnsi="Arial" w:cs="Arial"/>
          <w:b w:val="0"/>
          <w:bCs w:val="0"/>
          <w:lang w:val="hr-HR"/>
        </w:rPr>
        <w:t xml:space="preserve"> Troškovniku.</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3115A5B5" w14:textId="7713E1FF" w:rsidR="00474BE8" w:rsidRPr="00B77D44" w:rsidRDefault="00424BED" w:rsidP="00B77D44">
      <w:pPr>
        <w:pStyle w:val="Heading2"/>
        <w:numPr>
          <w:ilvl w:val="1"/>
          <w:numId w:val="7"/>
        </w:numPr>
        <w:jc w:val="both"/>
        <w:rPr>
          <w:rFonts w:ascii="Arial" w:hAnsi="Arial" w:cs="Arial"/>
          <w:b w:val="0"/>
          <w:bCs w:val="0"/>
          <w:lang w:val="hr-HR"/>
        </w:rPr>
      </w:pPr>
      <w:bookmarkStart w:id="36" w:name="_Toc344472605"/>
      <w:bookmarkStart w:id="37" w:name="_Toc353196620"/>
      <w:bookmarkStart w:id="38" w:name="_Toc370199133"/>
      <w:r>
        <w:rPr>
          <w:rFonts w:ascii="Arial" w:hAnsi="Arial" w:cs="Arial"/>
          <w:lang w:val="hr-HR"/>
        </w:rPr>
        <w:t>M</w:t>
      </w:r>
      <w:r w:rsidRPr="00905995">
        <w:rPr>
          <w:rFonts w:ascii="Arial" w:hAnsi="Arial" w:cs="Arial"/>
          <w:lang w:val="hr-HR"/>
        </w:rPr>
        <w:t xml:space="preserve">jesto </w:t>
      </w:r>
      <w:bookmarkEnd w:id="36"/>
      <w:bookmarkEnd w:id="37"/>
      <w:r w:rsidRPr="00905995">
        <w:rPr>
          <w:rFonts w:ascii="Arial" w:hAnsi="Arial" w:cs="Arial"/>
          <w:lang w:val="hr-HR"/>
        </w:rPr>
        <w:t>i</w:t>
      </w:r>
      <w:r>
        <w:rPr>
          <w:rFonts w:ascii="Arial" w:hAnsi="Arial" w:cs="Arial"/>
          <w:lang w:val="hr-HR"/>
        </w:rPr>
        <w:t>zvršenja</w:t>
      </w:r>
      <w:r w:rsidRPr="00905995">
        <w:rPr>
          <w:rFonts w:ascii="Arial" w:hAnsi="Arial" w:cs="Arial"/>
          <w:lang w:val="hr-HR"/>
        </w:rPr>
        <w:t xml:space="preserve"> predmeta nabave</w:t>
      </w:r>
      <w:bookmarkStart w:id="39" w:name="_Toc344472606"/>
      <w:bookmarkStart w:id="40" w:name="_Toc353196621"/>
      <w:bookmarkEnd w:id="38"/>
      <w:r>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p>
    <w:p w14:paraId="2AE84F56" w14:textId="2DE9D5D6" w:rsidR="00424BED" w:rsidRPr="00885B32" w:rsidRDefault="00424BED" w:rsidP="00474BE8">
      <w:pPr>
        <w:pStyle w:val="Heading2"/>
        <w:numPr>
          <w:ilvl w:val="1"/>
          <w:numId w:val="7"/>
        </w:numPr>
        <w:spacing w:after="0"/>
        <w:jc w:val="both"/>
        <w:rPr>
          <w:rFonts w:ascii="Arial" w:hAnsi="Arial" w:cs="Arial"/>
          <w:lang w:val="hr-HR"/>
        </w:rPr>
      </w:pPr>
      <w:bookmarkStart w:id="41" w:name="_Toc370199134"/>
      <w:r>
        <w:rPr>
          <w:rFonts w:ascii="Arial" w:hAnsi="Arial" w:cs="Arial"/>
          <w:lang w:val="hr-HR"/>
        </w:rPr>
        <w:t>T</w:t>
      </w:r>
      <w:r w:rsidRPr="00885B32">
        <w:rPr>
          <w:rFonts w:ascii="Arial" w:hAnsi="Arial" w:cs="Arial"/>
          <w:lang w:val="hr-HR"/>
        </w:rPr>
        <w:t>rajanje ugovora, rok i</w:t>
      </w:r>
      <w:r>
        <w:rPr>
          <w:rFonts w:ascii="Arial" w:hAnsi="Arial" w:cs="Arial"/>
          <w:lang w:val="hr-HR"/>
        </w:rPr>
        <w:t>zvršenja</w:t>
      </w:r>
      <w:r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AF705B">
        <w:rPr>
          <w:rFonts w:ascii="Arial" w:hAnsi="Arial" w:cs="Arial"/>
          <w:b w:val="0"/>
          <w:bCs w:val="0"/>
          <w:lang w:val="hr-HR"/>
        </w:rPr>
        <w:t>Proračunska 202</w:t>
      </w:r>
      <w:r w:rsidR="003D2A1B">
        <w:rPr>
          <w:rFonts w:ascii="Arial" w:hAnsi="Arial" w:cs="Arial"/>
          <w:b w:val="0"/>
          <w:bCs w:val="0"/>
          <w:lang w:val="hr-HR"/>
        </w:rPr>
        <w:t>6</w:t>
      </w:r>
      <w:r w:rsidR="00AF705B">
        <w:rPr>
          <w:rFonts w:ascii="Arial" w:hAnsi="Arial" w:cs="Arial"/>
          <w:b w:val="0"/>
          <w:bCs w:val="0"/>
          <w:lang w:val="hr-HR"/>
        </w:rPr>
        <w:t>.</w:t>
      </w:r>
    </w:p>
    <w:p w14:paraId="7584248D" w14:textId="3BC5E91E" w:rsidR="00424BED" w:rsidRPr="001B6B5E" w:rsidRDefault="00424BED" w:rsidP="00474BE8">
      <w:pPr>
        <w:jc w:val="both"/>
        <w:rPr>
          <w:rFonts w:ascii="Arial" w:hAnsi="Arial" w:cs="Arial"/>
          <w:bCs/>
        </w:rPr>
      </w:pPr>
      <w:r w:rsidRPr="007769F0">
        <w:rPr>
          <w:rFonts w:ascii="Arial" w:hAnsi="Arial" w:cs="Arial"/>
          <w:bCs/>
        </w:rPr>
        <w:t>Početak trajanja ugovora</w:t>
      </w:r>
      <w:r w:rsidRPr="001B6B5E">
        <w:rPr>
          <w:rFonts w:ascii="Arial" w:hAnsi="Arial" w:cs="Arial"/>
          <w:bCs/>
        </w:rPr>
        <w:t xml:space="preserve">: </w:t>
      </w:r>
      <w:r w:rsidR="00C02B1E">
        <w:rPr>
          <w:rFonts w:ascii="Arial" w:hAnsi="Arial" w:cs="Arial"/>
          <w:bCs/>
        </w:rPr>
        <w:t>siječanj 202</w:t>
      </w:r>
      <w:r w:rsidR="003D2A1B">
        <w:rPr>
          <w:rFonts w:ascii="Arial" w:hAnsi="Arial" w:cs="Arial"/>
          <w:bCs/>
        </w:rPr>
        <w:t>6</w:t>
      </w:r>
      <w:r w:rsidR="00C02B1E">
        <w:rPr>
          <w:rFonts w:ascii="Arial" w:hAnsi="Arial" w:cs="Arial"/>
          <w:bCs/>
        </w:rPr>
        <w:t>.</w:t>
      </w:r>
    </w:p>
    <w:p w14:paraId="697B20E4" w14:textId="77777777" w:rsidR="00424BED" w:rsidRDefault="00424BED" w:rsidP="00424BED">
      <w:pPr>
        <w:jc w:val="both"/>
        <w:rPr>
          <w:rFonts w:ascii="Arial" w:hAnsi="Arial" w:cs="Arial"/>
        </w:rPr>
      </w:pPr>
    </w:p>
    <w:p w14:paraId="33A9CBC8" w14:textId="77777777" w:rsidR="00424BED" w:rsidRPr="00523510" w:rsidRDefault="00424BED" w:rsidP="00424BED">
      <w:pPr>
        <w:pStyle w:val="Heading2"/>
        <w:numPr>
          <w:ilvl w:val="1"/>
          <w:numId w:val="7"/>
        </w:numPr>
        <w:spacing w:after="0"/>
        <w:jc w:val="both"/>
        <w:rPr>
          <w:rFonts w:ascii="Arial" w:hAnsi="Arial" w:cs="Arial"/>
          <w:lang w:val="hr-HR"/>
        </w:rPr>
      </w:pPr>
      <w:r w:rsidRPr="00523510">
        <w:rPr>
          <w:rFonts w:ascii="Arial" w:hAnsi="Arial" w:cs="Arial"/>
          <w:lang w:val="hr-HR"/>
        </w:rPr>
        <w:t>Rok, način i uvjeti plaćanja</w:t>
      </w:r>
    </w:p>
    <w:p w14:paraId="13FB824A" w14:textId="7C05B400" w:rsidR="00424BED" w:rsidRPr="00523510" w:rsidRDefault="00424BED" w:rsidP="005B5700">
      <w:pPr>
        <w:pStyle w:val="BodyText"/>
        <w:jc w:val="both"/>
        <w:rPr>
          <w:rFonts w:ascii="Arial" w:hAnsi="Arial" w:cs="Arial"/>
        </w:rPr>
      </w:pPr>
      <w:r w:rsidRPr="00523510">
        <w:rPr>
          <w:rFonts w:ascii="Arial" w:hAnsi="Arial" w:cs="Arial"/>
        </w:rPr>
        <w:t xml:space="preserve">Isplatom na </w:t>
      </w:r>
      <w:r>
        <w:rPr>
          <w:rFonts w:ascii="Arial" w:hAnsi="Arial" w:cs="Arial"/>
        </w:rPr>
        <w:t>IBAN</w:t>
      </w:r>
      <w:r w:rsidRPr="00523510">
        <w:rPr>
          <w:rFonts w:ascii="Arial" w:hAnsi="Arial" w:cs="Arial"/>
        </w:rPr>
        <w:t xml:space="preserve"> odabranog ponuditelja u roku od </w:t>
      </w:r>
      <w:r w:rsidR="00B61922">
        <w:rPr>
          <w:rFonts w:ascii="Arial" w:hAnsi="Arial" w:cs="Arial"/>
        </w:rPr>
        <w:t>60</w:t>
      </w:r>
      <w:r w:rsidR="008F5FF4">
        <w:rPr>
          <w:rFonts w:ascii="Arial" w:hAnsi="Arial" w:cs="Arial"/>
        </w:rPr>
        <w:t xml:space="preserve"> </w:t>
      </w:r>
      <w:r w:rsidRPr="00523510">
        <w:rPr>
          <w:rFonts w:ascii="Arial" w:hAnsi="Arial" w:cs="Arial"/>
        </w:rPr>
        <w:t>dana od dana zaprimanja</w:t>
      </w:r>
      <w:r w:rsidR="008F5FF4">
        <w:rPr>
          <w:rFonts w:ascii="Arial" w:hAnsi="Arial" w:cs="Arial"/>
        </w:rPr>
        <w:t xml:space="preserve"> </w:t>
      </w:r>
      <w:r w:rsidR="00B61922">
        <w:rPr>
          <w:rFonts w:ascii="Arial" w:hAnsi="Arial" w:cs="Arial"/>
        </w:rPr>
        <w:t>e-</w:t>
      </w:r>
      <w:r w:rsidRPr="00523510">
        <w:rPr>
          <w:rFonts w:ascii="Arial" w:hAnsi="Arial" w:cs="Arial"/>
        </w:rPr>
        <w:t>računa.</w:t>
      </w:r>
    </w:p>
    <w:p w14:paraId="32C20110" w14:textId="77777777" w:rsidR="00424BED" w:rsidRPr="00523510" w:rsidRDefault="00424BED" w:rsidP="00424BED">
      <w:pPr>
        <w:pStyle w:val="BodyText"/>
        <w:rPr>
          <w:rFonts w:ascii="Arial" w:hAnsi="Arial" w:cs="Arial"/>
        </w:rPr>
      </w:pPr>
    </w:p>
    <w:p w14:paraId="57AF94C8" w14:textId="0576C7FD" w:rsidR="00424BED" w:rsidRDefault="00424BED" w:rsidP="00424BED">
      <w:pPr>
        <w:pStyle w:val="Heading2"/>
        <w:numPr>
          <w:ilvl w:val="1"/>
          <w:numId w:val="7"/>
        </w:numPr>
        <w:spacing w:after="0"/>
        <w:jc w:val="both"/>
        <w:rPr>
          <w:rFonts w:ascii="Arial" w:hAnsi="Arial" w:cs="Arial"/>
          <w:b w:val="0"/>
          <w:lang w:val="hr-HR"/>
        </w:rPr>
      </w:pPr>
      <w:r w:rsidRPr="00523510">
        <w:rPr>
          <w:rFonts w:ascii="Arial" w:hAnsi="Arial" w:cs="Arial"/>
          <w:lang w:val="hr-HR"/>
        </w:rPr>
        <w:t xml:space="preserve">Rok valjanosti ponude: </w:t>
      </w:r>
      <w:r w:rsidR="00474BE8">
        <w:rPr>
          <w:rFonts w:ascii="Arial" w:hAnsi="Arial" w:cs="Arial"/>
          <w:b w:val="0"/>
          <w:lang w:val="hr-HR"/>
        </w:rPr>
        <w:t>60</w:t>
      </w:r>
      <w:r w:rsidRPr="00523510">
        <w:rPr>
          <w:rFonts w:ascii="Arial" w:hAnsi="Arial" w:cs="Arial"/>
          <w:b w:val="0"/>
          <w:lang w:val="hr-HR"/>
        </w:rPr>
        <w:t xml:space="preserve"> dana</w:t>
      </w:r>
      <w:r w:rsidR="002B68A6">
        <w:rPr>
          <w:rFonts w:ascii="Arial" w:hAnsi="Arial" w:cs="Arial"/>
          <w:b w:val="0"/>
          <w:lang w:val="hr-HR"/>
        </w:rPr>
        <w:t xml:space="preserve"> od dana otvaranja ponuda.</w:t>
      </w:r>
    </w:p>
    <w:p w14:paraId="05EBB1EC" w14:textId="77777777" w:rsidR="00424BED" w:rsidRDefault="00424BED" w:rsidP="00424BED"/>
    <w:p w14:paraId="19F2B21F" w14:textId="5410CD50" w:rsidR="00424BED" w:rsidRPr="00A05E7F" w:rsidRDefault="00424BED" w:rsidP="00A05E7F">
      <w:pPr>
        <w:tabs>
          <w:tab w:val="num" w:pos="-426"/>
        </w:tabs>
        <w:jc w:val="both"/>
        <w:rPr>
          <w:rFonts w:ascii="Arial" w:hAnsi="Arial" w:cs="Arial"/>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77777777" w:rsidR="00424BED" w:rsidRPr="00094826" w:rsidRDefault="00424BED" w:rsidP="00424BED">
      <w:pPr>
        <w:pStyle w:val="Heading2"/>
        <w:numPr>
          <w:ilvl w:val="0"/>
          <w:numId w:val="0"/>
        </w:numPr>
        <w:spacing w:after="0"/>
        <w:ind w:left="1080"/>
        <w:jc w:val="both"/>
        <w:rPr>
          <w:rFonts w:ascii="Arial" w:hAnsi="Arial" w:cs="Arial"/>
          <w:lang w:val="hr-HR"/>
        </w:rPr>
      </w:pPr>
      <w:r w:rsidRPr="00094826">
        <w:rPr>
          <w:rFonts w:ascii="Arial" w:hAnsi="Arial" w:cs="Arial"/>
          <w:lang w:val="hr-HR"/>
        </w:rPr>
        <w:t>3.1.     Obvezne</w:t>
      </w:r>
      <w:r>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424BED">
      <w:pPr>
        <w:ind w:left="142"/>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lastRenderedPageBreak/>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424BED">
      <w:pPr>
        <w:ind w:left="142"/>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77777777" w:rsidR="00424BED" w:rsidRPr="00094826" w:rsidRDefault="00424BED" w:rsidP="00424BED">
      <w:pPr>
        <w:pStyle w:val="Heading2"/>
        <w:numPr>
          <w:ilvl w:val="0"/>
          <w:numId w:val="0"/>
        </w:numPr>
        <w:spacing w:after="0"/>
        <w:ind w:left="1080"/>
        <w:jc w:val="both"/>
        <w:rPr>
          <w:rFonts w:ascii="Arial" w:hAnsi="Arial" w:cs="Arial"/>
          <w:bCs w:val="0"/>
          <w:lang w:val="hr-HR"/>
        </w:rPr>
      </w:pPr>
      <w:r w:rsidRPr="00094826">
        <w:rPr>
          <w:rFonts w:ascii="Arial" w:hAnsi="Arial" w:cs="Arial"/>
          <w:bCs w:val="0"/>
          <w:lang w:val="hr-HR"/>
        </w:rPr>
        <w:t xml:space="preserve">3.2. Dokaz nepostojanja osnova za isključenje </w:t>
      </w:r>
    </w:p>
    <w:p w14:paraId="08773A21" w14:textId="77777777" w:rsidR="00424BED" w:rsidRDefault="00424BED" w:rsidP="00424BED">
      <w:pPr>
        <w:tabs>
          <w:tab w:val="left" w:pos="567"/>
        </w:tabs>
        <w:contextualSpacing/>
        <w:jc w:val="both"/>
        <w:rPr>
          <w:rStyle w:val="Heading2Char"/>
          <w:rFonts w:ascii="Arial" w:hAnsi="Arial" w:cs="Arial"/>
        </w:rPr>
      </w:pPr>
    </w:p>
    <w:p w14:paraId="411C3A1B" w14:textId="77777777" w:rsidR="008F5FF4"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w:t>
      </w:r>
    </w:p>
    <w:p w14:paraId="60FDAD7F" w14:textId="049E1F1C"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 xml:space="preserve">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73692E60" w14:textId="15EA4FFD" w:rsidR="00E97C41" w:rsidRPr="0081061F"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bookmarkEnd w:id="42"/>
    <w:p w14:paraId="47BB6F9E" w14:textId="27BBFA37" w:rsidR="00424BED" w:rsidRDefault="00424BED" w:rsidP="00424BED">
      <w:pPr>
        <w:rPr>
          <w:highlight w:val="yellow"/>
        </w:rPr>
      </w:pPr>
    </w:p>
    <w:p w14:paraId="717AD3A3" w14:textId="1016153F" w:rsidR="00212B20" w:rsidRDefault="00212B20" w:rsidP="00424BED">
      <w:pPr>
        <w:rPr>
          <w:highlight w:val="yellow"/>
        </w:rPr>
      </w:pPr>
    </w:p>
    <w:p w14:paraId="3A39BD45" w14:textId="77777777" w:rsidR="00212B20" w:rsidRPr="003F51E1" w:rsidRDefault="00212B20"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424BED">
      <w:pPr>
        <w:pStyle w:val="Heading2"/>
        <w:numPr>
          <w:ilvl w:val="0"/>
          <w:numId w:val="0"/>
        </w:numPr>
        <w:spacing w:after="0"/>
        <w:ind w:left="108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EAC04B6" w14:textId="590B5A80" w:rsidR="00424BED" w:rsidRDefault="00883477" w:rsidP="00A05E7F">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6C1FDFF7" w14:textId="77777777" w:rsidR="00B77D44" w:rsidRDefault="00B77D44" w:rsidP="00A05E7F">
      <w:pPr>
        <w:pStyle w:val="Default"/>
        <w:jc w:val="both"/>
        <w:rPr>
          <w:rFonts w:ascii="Arial" w:hAnsi="Arial" w:cs="Arial"/>
        </w:rPr>
      </w:pPr>
    </w:p>
    <w:p w14:paraId="345D48AE" w14:textId="171290B7" w:rsidR="00B77D44" w:rsidRDefault="00B77D44" w:rsidP="00A05E7F">
      <w:pPr>
        <w:pStyle w:val="Default"/>
        <w:jc w:val="both"/>
        <w:rPr>
          <w:rFonts w:ascii="Arial" w:hAnsi="Arial" w:cs="Arial"/>
        </w:rPr>
      </w:pPr>
    </w:p>
    <w:p w14:paraId="3E4687B5" w14:textId="32D112AE" w:rsidR="00212B20" w:rsidRDefault="00212B20" w:rsidP="00A05E7F">
      <w:pPr>
        <w:pStyle w:val="Default"/>
        <w:jc w:val="both"/>
        <w:rPr>
          <w:rFonts w:ascii="Arial" w:hAnsi="Arial" w:cs="Arial"/>
        </w:rPr>
      </w:pPr>
    </w:p>
    <w:p w14:paraId="19C67494" w14:textId="6D7323A9" w:rsidR="00212B20" w:rsidRDefault="00212B20" w:rsidP="00A05E7F">
      <w:pPr>
        <w:pStyle w:val="Default"/>
        <w:jc w:val="both"/>
        <w:rPr>
          <w:rFonts w:ascii="Arial" w:hAnsi="Arial" w:cs="Arial"/>
        </w:rPr>
      </w:pPr>
    </w:p>
    <w:p w14:paraId="752BF8B0" w14:textId="32F0602A" w:rsidR="00212B20" w:rsidRDefault="00212B20" w:rsidP="00A05E7F">
      <w:pPr>
        <w:pStyle w:val="Default"/>
        <w:jc w:val="both"/>
        <w:rPr>
          <w:rFonts w:ascii="Arial" w:hAnsi="Arial" w:cs="Arial"/>
        </w:rPr>
      </w:pPr>
    </w:p>
    <w:p w14:paraId="3749DD4F" w14:textId="77777777" w:rsidR="00212B20" w:rsidRDefault="00212B20" w:rsidP="00A05E7F">
      <w:pPr>
        <w:pStyle w:val="Default"/>
        <w:jc w:val="both"/>
        <w:rPr>
          <w:rFonts w:ascii="Arial" w:hAnsi="Arial" w:cs="Arial"/>
        </w:rPr>
      </w:pPr>
    </w:p>
    <w:p w14:paraId="73368059" w14:textId="77777777" w:rsidR="00B77D44" w:rsidRPr="0081061F" w:rsidRDefault="00B77D44" w:rsidP="00A05E7F">
      <w:pPr>
        <w:pStyle w:val="Default"/>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lastRenderedPageBreak/>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3FEBE1FF" w:rsidR="00424BED" w:rsidRPr="005E4C77"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47761ACF" w:rsidR="00424BED" w:rsidRPr="005E4C77" w:rsidRDefault="0046323E" w:rsidP="00424BED">
      <w:pPr>
        <w:pStyle w:val="Heading2"/>
        <w:numPr>
          <w:ilvl w:val="0"/>
          <w:numId w:val="0"/>
        </w:numPr>
        <w:spacing w:after="0"/>
        <w:ind w:left="108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Prilog 1.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dokazi sposobnosti iz točke 3. ovog Poziva (Prilog 2.)</w:t>
      </w:r>
      <w:r w:rsidRPr="00E65D3A">
        <w:rPr>
          <w:rFonts w:ascii="Arial" w:hAnsi="Arial" w:cs="Arial"/>
          <w:i/>
        </w:rPr>
        <w:t xml:space="preserve"> </w:t>
      </w:r>
    </w:p>
    <w:p w14:paraId="17DE54C6" w14:textId="620A1D2E" w:rsidR="00424BED" w:rsidRPr="00B619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Pr>
          <w:rFonts w:ascii="Arial" w:hAnsi="Arial" w:cs="Arial"/>
        </w:rPr>
        <w:t xml:space="preserve">: </w:t>
      </w:r>
      <w:r w:rsidRPr="00BA5122">
        <w:rPr>
          <w:rFonts w:ascii="Arial" w:hAnsi="Arial" w:cs="Arial"/>
        </w:rPr>
        <w:t xml:space="preserve"> </w:t>
      </w:r>
      <w:r w:rsidR="00A24D27" w:rsidRPr="0081061F">
        <w:rPr>
          <w:rFonts w:ascii="Arial" w:hAnsi="Arial" w:cs="Arial"/>
          <w:bCs/>
          <w:lang w:bidi="hr-HR"/>
        </w:rPr>
        <w:t>izvod</w:t>
      </w:r>
      <w:r w:rsidR="00A24D27">
        <w:rPr>
          <w:rFonts w:ascii="Arial" w:hAnsi="Arial" w:cs="Arial"/>
          <w:bCs/>
          <w:lang w:bidi="hr-HR"/>
        </w:rPr>
        <w:t xml:space="preserve"> </w:t>
      </w:r>
      <w:r w:rsidR="00A24D27" w:rsidRPr="0081061F">
        <w:rPr>
          <w:rFonts w:ascii="Arial" w:hAnsi="Arial" w:cs="Arial"/>
          <w:bCs/>
          <w:lang w:bidi="hr-HR"/>
        </w:rPr>
        <w:t>iz sudskog, obrtnog, strukovnog ili drugog odgovarajućeg registra države sjedišta ponuditelja</w:t>
      </w:r>
    </w:p>
    <w:p w14:paraId="40B5BED8" w14:textId="282919E5" w:rsidR="00B61922" w:rsidRPr="005B3D3F" w:rsidRDefault="00B61922" w:rsidP="00424BED">
      <w:pPr>
        <w:numPr>
          <w:ilvl w:val="0"/>
          <w:numId w:val="3"/>
        </w:numPr>
        <w:jc w:val="both"/>
        <w:rPr>
          <w:rFonts w:ascii="Arial" w:hAnsi="Arial" w:cs="Arial"/>
          <w:u w:val="single"/>
        </w:rPr>
      </w:pPr>
      <w:r>
        <w:rPr>
          <w:rFonts w:ascii="Arial" w:hAnsi="Arial" w:cs="Arial"/>
          <w:bCs/>
          <w:lang w:bidi="hr-HR"/>
        </w:rPr>
        <w:t>Troškovnik (Prilog 3.)</w:t>
      </w:r>
    </w:p>
    <w:p w14:paraId="79DA03F8" w14:textId="004AAB92" w:rsidR="005B3D3F" w:rsidRPr="00BA5122" w:rsidRDefault="005B3D3F" w:rsidP="00424BED">
      <w:pPr>
        <w:numPr>
          <w:ilvl w:val="0"/>
          <w:numId w:val="3"/>
        </w:numPr>
        <w:jc w:val="both"/>
        <w:rPr>
          <w:rFonts w:ascii="Arial" w:hAnsi="Arial" w:cs="Arial"/>
          <w:u w:val="single"/>
        </w:rPr>
      </w:pPr>
      <w:r>
        <w:rPr>
          <w:rFonts w:ascii="Arial" w:hAnsi="Arial" w:cs="Arial"/>
          <w:bCs/>
          <w:lang w:bidi="hr-HR"/>
        </w:rPr>
        <w:t>Tehničke specifikacije (Prilog 4.)</w:t>
      </w:r>
    </w:p>
    <w:p w14:paraId="714CC6D5" w14:textId="7649540B" w:rsidR="00E97C41" w:rsidRPr="00BA5122" w:rsidRDefault="00E97C41" w:rsidP="00B77D44">
      <w:pPr>
        <w:ind w:left="360"/>
        <w:jc w:val="both"/>
        <w:rPr>
          <w:rFonts w:ascii="Arial" w:hAnsi="Arial" w:cs="Arial"/>
        </w:rPr>
      </w:pP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051523A0" w:rsidR="00424BED" w:rsidRPr="0078723B" w:rsidRDefault="0046323E" w:rsidP="00424BED">
      <w:pPr>
        <w:pStyle w:val="Heading2"/>
        <w:numPr>
          <w:ilvl w:val="0"/>
          <w:numId w:val="0"/>
        </w:numPr>
        <w:spacing w:after="0"/>
        <w:ind w:left="108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p>
    <w:p w14:paraId="0180840C" w14:textId="1EBC1BD3"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05C95BF5" w:rsidR="00424BED" w:rsidRPr="00283957" w:rsidRDefault="00424BED" w:rsidP="00E2194C">
      <w:pPr>
        <w:ind w:left="708"/>
        <w:jc w:val="center"/>
        <w:rPr>
          <w:rFonts w:ascii="Arial" w:hAnsi="Arial" w:cs="Arial"/>
          <w:b/>
          <w:bCs/>
          <w:iCs/>
        </w:rPr>
      </w:pPr>
      <w:r w:rsidRPr="00283957">
        <w:rPr>
          <w:rFonts w:ascii="Arial" w:hAnsi="Arial" w:cs="Arial"/>
          <w:b/>
          <w:bCs/>
          <w:iCs/>
        </w:rPr>
        <w:t>„</w:t>
      </w:r>
      <w:r w:rsidR="00992CB8">
        <w:rPr>
          <w:rFonts w:ascii="Arial" w:hAnsi="Arial" w:cs="Arial"/>
          <w:b/>
          <w:bCs/>
          <w:iCs/>
        </w:rPr>
        <w:t>Sistemski nadzor servera i pripadajuće mreže</w:t>
      </w:r>
      <w:r w:rsidR="00E2194C">
        <w:rPr>
          <w:rFonts w:ascii="Arial" w:hAnsi="Arial" w:cs="Arial"/>
          <w:b/>
          <w:bCs/>
          <w:iCs/>
        </w:rPr>
        <w:t>,</w:t>
      </w:r>
    </w:p>
    <w:p w14:paraId="744002EC" w14:textId="65CE0E96" w:rsidR="00424BED" w:rsidRPr="00283957" w:rsidRDefault="003D2A1B" w:rsidP="003D2A1B">
      <w:pPr>
        <w:ind w:left="1800"/>
        <w:rPr>
          <w:rFonts w:ascii="Arial" w:hAnsi="Arial" w:cs="Arial"/>
          <w:b/>
          <w:bCs/>
          <w:iCs/>
        </w:rPr>
      </w:pPr>
      <w:r>
        <w:rPr>
          <w:rFonts w:ascii="Arial" w:hAnsi="Arial" w:cs="Arial"/>
          <w:b/>
          <w:bCs/>
          <w:iCs/>
        </w:rPr>
        <w:t xml:space="preserve">           </w:t>
      </w:r>
      <w:r w:rsidR="00424BED" w:rsidRPr="00283957">
        <w:rPr>
          <w:rFonts w:ascii="Arial" w:hAnsi="Arial" w:cs="Arial"/>
          <w:b/>
          <w:bCs/>
          <w:iCs/>
        </w:rPr>
        <w:t>ne otvaraj - evidencijski broj</w:t>
      </w:r>
      <w:r w:rsidR="00424BED" w:rsidRPr="00283957">
        <w:rPr>
          <w:rFonts w:ascii="Arial" w:hAnsi="Arial" w:cs="Arial"/>
          <w:iCs/>
        </w:rPr>
        <w:t xml:space="preserve">: </w:t>
      </w:r>
      <w:r w:rsidR="00992CB8">
        <w:rPr>
          <w:rFonts w:ascii="Arial" w:hAnsi="Arial" w:cs="Arial"/>
          <w:b/>
          <w:iCs/>
        </w:rPr>
        <w:t>7</w:t>
      </w:r>
      <w:r w:rsidR="008B002E">
        <w:rPr>
          <w:rFonts w:ascii="Arial" w:hAnsi="Arial" w:cs="Arial"/>
          <w:b/>
          <w:iCs/>
        </w:rPr>
        <w:t>-MV-202</w:t>
      </w:r>
      <w:r>
        <w:rPr>
          <w:rFonts w:ascii="Arial" w:hAnsi="Arial" w:cs="Arial"/>
          <w:b/>
          <w:iCs/>
        </w:rPr>
        <w:t>6</w:t>
      </w:r>
      <w:r w:rsidR="00424BED"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7FE00EDB" w14:textId="388CB768" w:rsidR="00424BED" w:rsidRPr="00D33234"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p>
    <w:p w14:paraId="51A6EC55" w14:textId="77777777" w:rsidR="00424BED" w:rsidRPr="00D33234" w:rsidRDefault="00424BED" w:rsidP="00424BED">
      <w:pPr>
        <w:jc w:val="both"/>
        <w:rPr>
          <w:rFonts w:ascii="Arial" w:hAnsi="Arial" w:cs="Arial"/>
        </w:rPr>
      </w:pP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7D8A3466"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B61922">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61AEE3B5" w14:textId="1E3D8A7A" w:rsidR="00424BED" w:rsidRPr="00E97C41"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0D6291B7" w14:textId="77777777" w:rsidR="00424BED" w:rsidRPr="003F51E1" w:rsidRDefault="00424BED" w:rsidP="00424BED">
      <w:pPr>
        <w:rPr>
          <w:rFonts w:ascii="Arial" w:hAnsi="Arial" w:cs="Arial"/>
          <w:highlight w:val="yellow"/>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59DE3BDC"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p>
    <w:p w14:paraId="10D2E1E4" w14:textId="77777777" w:rsidR="00424BED" w:rsidRPr="00F964A3" w:rsidRDefault="00424BED" w:rsidP="00424BED">
      <w:pPr>
        <w:jc w:val="both"/>
        <w:rPr>
          <w:rFonts w:ascii="Arial" w:hAnsi="Arial" w:cs="Arial"/>
        </w:rPr>
      </w:pPr>
      <w:r w:rsidRPr="00F964A3">
        <w:rPr>
          <w:rFonts w:ascii="Arial" w:hAnsi="Arial" w:cs="Arial"/>
        </w:rPr>
        <w:t xml:space="preserve">Ponuditelj je dužan ponuditi jediničnu cijenu za stavku troškovnika i pomnožiti je s određenom količinom što daje ukupnu vrijednost stavke. Zbrajanje svih stavki daje ukupnu cijenu ponude. </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8B002E">
      <w:pPr>
        <w:pStyle w:val="Heading2"/>
        <w:numPr>
          <w:ilvl w:val="0"/>
          <w:numId w:val="0"/>
        </w:numPr>
        <w:spacing w:after="0"/>
        <w:ind w:firstLine="426"/>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proofErr w:type="spellStart"/>
      <w:r w:rsidR="00424BED" w:rsidRPr="008B002E">
        <w:rPr>
          <w:rFonts w:ascii="Arial" w:hAnsi="Arial" w:cs="Arial"/>
          <w:b w:val="0"/>
          <w:bCs w:val="0"/>
        </w:rPr>
        <w:t>ajniža</w:t>
      </w:r>
      <w:proofErr w:type="spellEnd"/>
      <w:r w:rsidR="00424BED" w:rsidRPr="008B002E">
        <w:rPr>
          <w:rFonts w:ascii="Arial" w:hAnsi="Arial" w:cs="Arial"/>
          <w:b w:val="0"/>
          <w:bCs w:val="0"/>
        </w:rPr>
        <w:t xml:space="preserve"> </w:t>
      </w:r>
      <w:proofErr w:type="spellStart"/>
      <w:r w:rsidR="00424BED" w:rsidRPr="008B002E">
        <w:rPr>
          <w:rFonts w:ascii="Arial" w:hAnsi="Arial" w:cs="Arial"/>
          <w:b w:val="0"/>
          <w:bCs w:val="0"/>
        </w:rPr>
        <w:t>cijena</w:t>
      </w:r>
      <w:proofErr w:type="spellEnd"/>
      <w:r w:rsidR="00424BED" w:rsidRPr="008B002E">
        <w:rPr>
          <w:rFonts w:ascii="Arial" w:hAnsi="Arial" w:cs="Arial"/>
          <w:b w:val="0"/>
          <w:bCs w:val="0"/>
        </w:rPr>
        <w:t>.</w:t>
      </w:r>
    </w:p>
    <w:p w14:paraId="4643C78D" w14:textId="77777777" w:rsidR="00424BED" w:rsidRPr="00F964A3" w:rsidRDefault="00424BED" w:rsidP="00424BED">
      <w:pPr>
        <w:rPr>
          <w:lang w:val="pl-PL"/>
        </w:rPr>
      </w:pPr>
    </w:p>
    <w:p w14:paraId="314B52A7" w14:textId="299E942F" w:rsidR="00424BED" w:rsidRPr="007A111B" w:rsidRDefault="0046323E" w:rsidP="00424BED">
      <w:pPr>
        <w:pStyle w:val="Heading2"/>
        <w:numPr>
          <w:ilvl w:val="0"/>
          <w:numId w:val="0"/>
        </w:numPr>
        <w:spacing w:after="0"/>
        <w:ind w:firstLine="426"/>
        <w:jc w:val="both"/>
        <w:rPr>
          <w:rFonts w:ascii="Arial" w:hAnsi="Arial" w:cs="Arial"/>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p>
    <w:p w14:paraId="31AE8FC2" w14:textId="77777777" w:rsidR="00424BED" w:rsidRPr="00D96670" w:rsidRDefault="00424BED" w:rsidP="00424BED">
      <w:pPr>
        <w:jc w:val="both"/>
        <w:rPr>
          <w:rFonts w:ascii="Arial" w:hAnsi="Arial" w:cs="Arial"/>
        </w:rPr>
      </w:pPr>
      <w:r w:rsidRPr="00D96670">
        <w:rPr>
          <w:rFonts w:ascii="Arial" w:hAnsi="Arial" w:cs="Arial"/>
        </w:rPr>
        <w:t>Ponuda se zajedno s pripadajućom dokumentacijom izrađuje na hrvatskom jeziku i latiničnom pismu.</w:t>
      </w:r>
    </w:p>
    <w:p w14:paraId="44A6BBFA" w14:textId="39F63A0B"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2A0E98D8" w14:textId="77777777" w:rsidR="00A05E7F" w:rsidRDefault="00A05E7F" w:rsidP="00424BED">
      <w:pPr>
        <w:jc w:val="both"/>
        <w:rPr>
          <w:rFonts w:ascii="Arial" w:hAnsi="Arial" w:cs="Arial"/>
        </w:rPr>
      </w:pPr>
    </w:p>
    <w:p w14:paraId="161439F1" w14:textId="77777777" w:rsidR="00E2194C" w:rsidRPr="00E97C41" w:rsidRDefault="00E2194C" w:rsidP="00424BED">
      <w:pPr>
        <w:jc w:val="both"/>
        <w:rPr>
          <w:rFonts w:ascii="Arial" w:hAnsi="Arial" w:cs="Arial"/>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AA088C2" w:rsidR="00424BED" w:rsidRPr="007A111B"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p>
    <w:p w14:paraId="7C49C5B1" w14:textId="77777777" w:rsidR="00424BED" w:rsidRPr="003F51E1" w:rsidRDefault="00424BED" w:rsidP="00424BED">
      <w:pPr>
        <w:jc w:val="both"/>
        <w:rPr>
          <w:rFonts w:ascii="Arial" w:hAnsi="Arial" w:cs="Arial"/>
          <w:bCs/>
          <w:highlight w:val="yellow"/>
        </w:rPr>
      </w:pPr>
    </w:p>
    <w:p w14:paraId="35320BBE" w14:textId="7074D990"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3D2A1B">
        <w:rPr>
          <w:rFonts w:ascii="Arial" w:hAnsi="Arial" w:cs="Arial"/>
          <w:b/>
          <w:bCs/>
        </w:rPr>
        <w:t>0</w:t>
      </w:r>
      <w:r w:rsidR="00730C2C">
        <w:rPr>
          <w:rFonts w:ascii="Arial" w:hAnsi="Arial" w:cs="Arial"/>
          <w:b/>
          <w:bCs/>
        </w:rPr>
        <w:t>5</w:t>
      </w:r>
      <w:r w:rsidR="002B68A6">
        <w:rPr>
          <w:rFonts w:ascii="Arial" w:hAnsi="Arial" w:cs="Arial"/>
          <w:b/>
          <w:bCs/>
        </w:rPr>
        <w:t>.</w:t>
      </w:r>
      <w:r w:rsidR="008B002E">
        <w:rPr>
          <w:rFonts w:ascii="Arial" w:hAnsi="Arial" w:cs="Arial"/>
          <w:b/>
          <w:bCs/>
        </w:rPr>
        <w:t>1</w:t>
      </w:r>
      <w:r w:rsidR="003D2A1B">
        <w:rPr>
          <w:rFonts w:ascii="Arial" w:hAnsi="Arial" w:cs="Arial"/>
          <w:b/>
          <w:bCs/>
        </w:rPr>
        <w:t>2</w:t>
      </w:r>
      <w:r w:rsidR="008B002E">
        <w:rPr>
          <w:rFonts w:ascii="Arial" w:hAnsi="Arial" w:cs="Arial"/>
          <w:b/>
          <w:bCs/>
        </w:rPr>
        <w:t>.202</w:t>
      </w:r>
      <w:r w:rsidR="003D2A1B">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730C2C">
        <w:rPr>
          <w:rFonts w:ascii="Arial" w:hAnsi="Arial" w:cs="Arial"/>
          <w:b/>
          <w:bCs/>
        </w:rPr>
        <w:t>09</w:t>
      </w:r>
      <w:r w:rsidRPr="004E03D4">
        <w:rPr>
          <w:rFonts w:ascii="Arial" w:hAnsi="Arial" w:cs="Arial"/>
          <w:b/>
          <w:bCs/>
        </w:rPr>
        <w:t>:</w:t>
      </w:r>
      <w:r w:rsidR="00B61922">
        <w:rPr>
          <w:rFonts w:ascii="Arial" w:hAnsi="Arial" w:cs="Arial"/>
          <w:b/>
          <w:bCs/>
        </w:rPr>
        <w:t xml:space="preserve">00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44971D11" w14:textId="2CB40398" w:rsidR="00424BED" w:rsidRPr="004E03D4" w:rsidRDefault="00424BED" w:rsidP="00424BED">
      <w:pPr>
        <w:jc w:val="both"/>
        <w:rPr>
          <w:rFonts w:ascii="Arial" w:hAnsi="Arial" w:cs="Arial"/>
        </w:rPr>
      </w:pPr>
      <w:r w:rsidRPr="004E03D4">
        <w:rPr>
          <w:rFonts w:ascii="Arial" w:hAnsi="Arial" w:cs="Arial"/>
        </w:rPr>
        <w:lastRenderedPageBreak/>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p>
    <w:p w14:paraId="7442F17D" w14:textId="77777777" w:rsidR="00424BED" w:rsidRPr="004E03D4" w:rsidRDefault="00424BED" w:rsidP="00424BED">
      <w:pPr>
        <w:jc w:val="both"/>
        <w:rPr>
          <w:rFonts w:ascii="Arial" w:hAnsi="Arial" w:cs="Arial"/>
        </w:rPr>
      </w:pP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5A4F50BF" w:rsidR="00424BED" w:rsidRPr="004E03D4" w:rsidRDefault="0046323E" w:rsidP="00424BED">
      <w:pPr>
        <w:pStyle w:val="Heading2"/>
        <w:numPr>
          <w:ilvl w:val="0"/>
          <w:numId w:val="0"/>
        </w:numPr>
        <w:spacing w:after="0"/>
        <w:ind w:firstLine="426"/>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p>
    <w:p w14:paraId="41D0198B" w14:textId="719A5B51"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B61922">
        <w:rPr>
          <w:rFonts w:ascii="Arial" w:hAnsi="Arial" w:cs="Arial"/>
        </w:rPr>
        <w:t>30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08E44482" w14:textId="4A29E872" w:rsidR="00424BED" w:rsidRPr="004E03D4" w:rsidRDefault="0046323E" w:rsidP="00424BED">
      <w:pPr>
        <w:pStyle w:val="Heading2"/>
        <w:numPr>
          <w:ilvl w:val="0"/>
          <w:numId w:val="0"/>
        </w:numPr>
        <w:spacing w:after="0"/>
        <w:ind w:firstLine="426"/>
        <w:jc w:val="both"/>
        <w:rPr>
          <w:rFonts w:ascii="Arial" w:hAnsi="Arial" w:cs="Arial"/>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 </w:t>
      </w:r>
      <w:bookmarkEnd w:id="94"/>
      <w:bookmarkEnd w:id="95"/>
    </w:p>
    <w:p w14:paraId="3824D4D8" w14:textId="0B3BE073" w:rsidR="00424BED" w:rsidRDefault="00424BED" w:rsidP="00424BED">
      <w:pPr>
        <w:shd w:val="clear" w:color="auto" w:fill="FFFFFF"/>
        <w:tabs>
          <w:tab w:val="left" w:pos="283"/>
        </w:tabs>
        <w:ind w:right="11"/>
        <w:jc w:val="both"/>
        <w:rPr>
          <w:rFonts w:ascii="Arial" w:hAnsi="Arial" w:cs="Arial"/>
        </w:rPr>
      </w:pPr>
      <w:r w:rsidRPr="004E03D4">
        <w:rPr>
          <w:rFonts w:ascii="Arial" w:hAnsi="Arial" w:cs="Arial"/>
        </w:rPr>
        <w:t>Obavijest o odabiru ili poništenju naručitelj će bez odgode dostaviti ponuditeljima na dokaziv način.</w:t>
      </w: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210506B7" w14:textId="29940ACE"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26BF12AB" w14:textId="77777777" w:rsidR="00CB595C" w:rsidRDefault="00CB595C" w:rsidP="00424BED">
      <w:pPr>
        <w:pStyle w:val="Heading2"/>
        <w:numPr>
          <w:ilvl w:val="0"/>
          <w:numId w:val="0"/>
        </w:numPr>
        <w:spacing w:after="0"/>
        <w:ind w:firstLine="426"/>
        <w:jc w:val="both"/>
        <w:rPr>
          <w:rFonts w:ascii="Arial" w:hAnsi="Arial" w:cs="Arial"/>
          <w:lang w:val="hr-HR"/>
        </w:rPr>
      </w:pP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5FEB7A83" w14:textId="4CE755EB"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p>
    <w:p w14:paraId="67C7DDB0" w14:textId="77777777" w:rsidR="00424BED" w:rsidRPr="00633251" w:rsidRDefault="004A624A" w:rsidP="00424BED">
      <w:pPr>
        <w:tabs>
          <w:tab w:val="left" w:pos="567"/>
        </w:tabs>
        <w:jc w:val="both"/>
        <w:rPr>
          <w:rFonts w:ascii="Arial" w:hAnsi="Arial" w:cs="Arial"/>
          <w:lang w:bidi="hr-HR"/>
        </w:rPr>
      </w:pPr>
      <w:r>
        <w:rPr>
          <w:rFonts w:ascii="Arial" w:hAnsi="Arial" w:cs="Arial"/>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920D084" w14:textId="3473D34A" w:rsidR="00424BED" w:rsidRPr="00633251" w:rsidRDefault="0046323E" w:rsidP="00424BED">
      <w:pPr>
        <w:pStyle w:val="Heading2"/>
        <w:numPr>
          <w:ilvl w:val="0"/>
          <w:numId w:val="0"/>
        </w:numPr>
        <w:spacing w:after="0"/>
        <w:ind w:firstLine="426"/>
        <w:jc w:val="both"/>
        <w:rPr>
          <w:rFonts w:ascii="Arial" w:hAnsi="Arial" w:cs="Arial"/>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p>
    <w:p w14:paraId="3AEC2AE6" w14:textId="77777777" w:rsidR="00424BED" w:rsidRPr="00633251" w:rsidRDefault="00424BED" w:rsidP="00424BED">
      <w:pPr>
        <w:jc w:val="both"/>
        <w:rPr>
          <w:rFonts w:ascii="Arial" w:hAnsi="Arial" w:cs="Arial"/>
          <w:color w:val="000000" w:themeColor="text1"/>
        </w:rPr>
      </w:pPr>
      <w:r w:rsidRPr="00633251">
        <w:rPr>
          <w:rFonts w:ascii="Arial" w:hAnsi="Arial" w:cs="Arial"/>
          <w:color w:val="000000" w:themeColor="text1"/>
        </w:rPr>
        <w:t>Sukladno članku 12. stavak 1. točka 1. Zakona o javnoj nabavi ("Narodne novine", broj 120/16</w:t>
      </w:r>
      <w:r>
        <w:rPr>
          <w:rFonts w:ascii="Arial" w:hAnsi="Arial" w:cs="Arial"/>
          <w:color w:val="000000" w:themeColor="text1"/>
        </w:rPr>
        <w:t>, 114/22</w:t>
      </w:r>
      <w:r w:rsidRPr="00633251">
        <w:rPr>
          <w:rFonts w:ascii="Arial" w:hAnsi="Arial" w:cs="Arial"/>
          <w:color w:val="000000" w:themeColor="text1"/>
        </w:rPr>
        <w:t>) na ovaj postupak nabave ne primjenjuje 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1F2126A8" w:rsidR="00424BED" w:rsidRPr="00633251" w:rsidRDefault="0046323E" w:rsidP="00424BED">
      <w:pPr>
        <w:pStyle w:val="Heading2"/>
        <w:numPr>
          <w:ilvl w:val="0"/>
          <w:numId w:val="0"/>
        </w:numPr>
        <w:spacing w:after="0"/>
        <w:ind w:firstLine="426"/>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619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38131C1B" w14:textId="4231A986" w:rsidR="00B61922" w:rsidRPr="005B3D3F" w:rsidRDefault="00B61922" w:rsidP="00424BED">
      <w:pPr>
        <w:numPr>
          <w:ilvl w:val="0"/>
          <w:numId w:val="3"/>
        </w:numPr>
        <w:jc w:val="both"/>
        <w:rPr>
          <w:rFonts w:ascii="Arial" w:hAnsi="Arial" w:cs="Arial"/>
        </w:rPr>
      </w:pPr>
      <w:r w:rsidRPr="005B3D3F">
        <w:rPr>
          <w:rFonts w:ascii="Arial" w:hAnsi="Arial" w:cs="Arial"/>
        </w:rPr>
        <w:t>Troškovnik (Prilog 3.)</w:t>
      </w:r>
    </w:p>
    <w:p w14:paraId="001B2A9D" w14:textId="1F4D691A" w:rsidR="005B3D3F" w:rsidRPr="005B3D3F" w:rsidRDefault="005B3D3F" w:rsidP="00424BED">
      <w:pPr>
        <w:numPr>
          <w:ilvl w:val="0"/>
          <w:numId w:val="3"/>
        </w:numPr>
        <w:jc w:val="both"/>
        <w:rPr>
          <w:rFonts w:ascii="Arial" w:hAnsi="Arial" w:cs="Arial"/>
        </w:rPr>
      </w:pPr>
      <w:r w:rsidRPr="005B3D3F">
        <w:rPr>
          <w:rFonts w:ascii="Arial" w:hAnsi="Arial" w:cs="Arial"/>
        </w:rPr>
        <w:t>Tehničke specifikacije (Prilog 4.)</w:t>
      </w:r>
    </w:p>
    <w:p w14:paraId="6B70F9DD" w14:textId="77777777" w:rsidR="00424BED" w:rsidRPr="003F51E1" w:rsidRDefault="00424BED" w:rsidP="00424BED">
      <w:pPr>
        <w:rPr>
          <w:highlight w:val="yellow"/>
        </w:rPr>
      </w:pPr>
    </w:p>
    <w:p w14:paraId="533EC90D" w14:textId="77777777" w:rsidR="008E7A13" w:rsidRDefault="008E7A13" w:rsidP="008E7A13">
      <w:pPr>
        <w:spacing w:line="276" w:lineRule="auto"/>
        <w:ind w:left="720"/>
        <w:jc w:val="both"/>
      </w:pPr>
      <w:bookmarkStart w:id="111" w:name="_Toc370199156"/>
    </w:p>
    <w:p w14:paraId="2AB3E831" w14:textId="77777777" w:rsidR="008E7A13" w:rsidRDefault="008E7A13" w:rsidP="008E7A13">
      <w:pPr>
        <w:spacing w:line="276" w:lineRule="auto"/>
        <w:ind w:left="5664"/>
      </w:pPr>
      <w:r>
        <w:t xml:space="preserve">         Ravnatelj:</w:t>
      </w:r>
    </w:p>
    <w:p w14:paraId="52DF6BED" w14:textId="77777777" w:rsidR="008E7A13" w:rsidRDefault="008E7A13" w:rsidP="008E7A13">
      <w:pPr>
        <w:spacing w:line="276" w:lineRule="auto"/>
        <w:ind w:left="5664"/>
        <w:rPr>
          <w:b/>
          <w:bCs/>
        </w:rPr>
      </w:pPr>
    </w:p>
    <w:p w14:paraId="603C51EA" w14:textId="77777777" w:rsidR="008E7A13" w:rsidRPr="008E7A13" w:rsidRDefault="008E7A13" w:rsidP="008E7A13">
      <w:pPr>
        <w:spacing w:line="276" w:lineRule="auto"/>
        <w:ind w:left="5664"/>
      </w:pPr>
      <w:r w:rsidRPr="008E7A13">
        <w:t>____________________</w:t>
      </w:r>
    </w:p>
    <w:p w14:paraId="051F70A7" w14:textId="77777777" w:rsidR="008E7A13" w:rsidRDefault="008E7A13" w:rsidP="008E7A13">
      <w:pPr>
        <w:spacing w:line="276" w:lineRule="auto"/>
        <w:ind w:left="4956"/>
      </w:pPr>
      <w:r>
        <w:t xml:space="preserve">                                                                    izv.prof.dr.sc. Željko Linšak, dipl.sanit.ing</w:t>
      </w:r>
    </w:p>
    <w:p w14:paraId="4F95FE17" w14:textId="77777777" w:rsidR="00C26785" w:rsidRDefault="00C26785" w:rsidP="00E97C41">
      <w:pPr>
        <w:ind w:left="4956"/>
        <w:rPr>
          <w:rFonts w:ascii="Arial" w:hAnsi="Arial" w:cs="Arial"/>
        </w:rPr>
      </w:pPr>
    </w:p>
    <w:p w14:paraId="164A7D12" w14:textId="77777777" w:rsidR="00C26785" w:rsidRDefault="00C26785" w:rsidP="00E97C41">
      <w:pPr>
        <w:ind w:left="4956"/>
        <w:rPr>
          <w:rFonts w:ascii="Arial" w:hAnsi="Arial" w:cs="Arial"/>
        </w:rPr>
      </w:pPr>
    </w:p>
    <w:p w14:paraId="7E6E5181" w14:textId="77777777" w:rsidR="00C26785" w:rsidRDefault="00C26785" w:rsidP="00E97C41">
      <w:pPr>
        <w:ind w:left="4956"/>
        <w:rPr>
          <w:rFonts w:ascii="Arial" w:hAnsi="Arial" w:cs="Arial"/>
        </w:rPr>
      </w:pPr>
    </w:p>
    <w:p w14:paraId="676C7CC8" w14:textId="77777777" w:rsidR="00C26785" w:rsidRDefault="00C26785" w:rsidP="00E97C41">
      <w:pPr>
        <w:ind w:left="4956"/>
        <w:rPr>
          <w:rFonts w:ascii="Arial" w:hAnsi="Arial" w:cs="Arial"/>
        </w:rPr>
      </w:pPr>
    </w:p>
    <w:p w14:paraId="26738A37" w14:textId="77777777" w:rsidR="00C26785" w:rsidRDefault="00C26785" w:rsidP="00E97C41">
      <w:pPr>
        <w:ind w:left="4956"/>
        <w:rPr>
          <w:rFonts w:ascii="Arial" w:hAnsi="Arial" w:cs="Arial"/>
        </w:rPr>
      </w:pPr>
    </w:p>
    <w:p w14:paraId="01611DF2" w14:textId="77777777" w:rsidR="00C26785" w:rsidRDefault="00C26785" w:rsidP="00E97C41">
      <w:pPr>
        <w:ind w:left="4956"/>
        <w:rPr>
          <w:rFonts w:ascii="Arial" w:hAnsi="Arial" w:cs="Arial"/>
        </w:rPr>
      </w:pPr>
    </w:p>
    <w:p w14:paraId="726B1FE9" w14:textId="76A5A8E5" w:rsidR="00050F9F" w:rsidRDefault="00050F9F" w:rsidP="00B4468E">
      <w:pPr>
        <w:rPr>
          <w:rFonts w:ascii="Arial" w:hAnsi="Arial" w:cs="Arial"/>
        </w:rPr>
      </w:pPr>
    </w:p>
    <w:p w14:paraId="4C4D459D" w14:textId="4B746B94" w:rsidR="003D2A1B" w:rsidRDefault="003D2A1B" w:rsidP="00B4468E">
      <w:pPr>
        <w:rPr>
          <w:rFonts w:ascii="Arial" w:hAnsi="Arial" w:cs="Arial"/>
        </w:rPr>
      </w:pPr>
    </w:p>
    <w:p w14:paraId="407BED3D" w14:textId="6D491A25" w:rsidR="003D2A1B" w:rsidRDefault="003D2A1B" w:rsidP="0054610A">
      <w:pPr>
        <w:rPr>
          <w:rFonts w:ascii="Arial" w:hAnsi="Arial" w:cs="Arial"/>
        </w:rPr>
      </w:pPr>
    </w:p>
    <w:p w14:paraId="287CE73E" w14:textId="77777777" w:rsidR="003D2A1B" w:rsidRDefault="003D2A1B" w:rsidP="00E97C41">
      <w:pPr>
        <w:ind w:left="4956"/>
        <w:rPr>
          <w:rFonts w:ascii="Arial" w:hAnsi="Arial" w:cs="Arial"/>
        </w:rPr>
      </w:pPr>
    </w:p>
    <w:p w14:paraId="0D9BE4B6" w14:textId="77777777" w:rsidR="00B77D44" w:rsidRDefault="00B77D44" w:rsidP="00E97C41">
      <w:pPr>
        <w:ind w:left="4956"/>
        <w:rPr>
          <w:rFonts w:ascii="Arial" w:hAnsi="Arial" w:cs="Arial"/>
        </w:rPr>
      </w:pPr>
    </w:p>
    <w:p w14:paraId="44A0102F" w14:textId="4FAE4823"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564CE223" w14:textId="77777777" w:rsidR="00050F9F" w:rsidRDefault="00050F9F" w:rsidP="00050F9F">
      <w:pPr>
        <w:rPr>
          <w:rFonts w:ascii="Arial" w:hAnsi="Arial" w:cs="Arial"/>
          <w:b/>
          <w:lang w:val="it-IT"/>
        </w:rPr>
      </w:pPr>
    </w:p>
    <w:p w14:paraId="171E1273" w14:textId="39F710D1" w:rsidR="00424BED" w:rsidRPr="00050F9F" w:rsidRDefault="00424BED" w:rsidP="00050F9F">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r w:rsidRPr="00633251">
        <w:rPr>
          <w:rFonts w:ascii="Arial" w:hAnsi="Arial" w:cs="Arial"/>
          <w:lang w:val="it-IT"/>
        </w:rPr>
        <w:t>(Ispuniti</w:t>
      </w:r>
      <w:r w:rsidRPr="00633251">
        <w:rPr>
          <w:rFonts w:ascii="Arial" w:hAnsi="Arial" w:cs="Arial"/>
        </w:rPr>
        <w:t xml:space="preserve"> </w:t>
      </w:r>
      <w:r w:rsidRPr="00633251">
        <w:rPr>
          <w:rFonts w:ascii="Arial" w:hAnsi="Arial" w:cs="Arial"/>
          <w:lang w:val="it-IT"/>
        </w:rPr>
        <w:t>sve</w:t>
      </w:r>
      <w:r w:rsidRPr="00633251">
        <w:rPr>
          <w:rFonts w:ascii="Arial" w:hAnsi="Arial" w:cs="Arial"/>
        </w:rPr>
        <w:t xml:space="preserve"> </w:t>
      </w:r>
      <w:r w:rsidRPr="00633251">
        <w:rPr>
          <w:rFonts w:ascii="Arial" w:hAnsi="Arial" w:cs="Arial"/>
          <w:lang w:val="it-IT"/>
        </w:rPr>
        <w:t>stavke</w:t>
      </w:r>
      <w:r w:rsidRPr="00633251">
        <w:rPr>
          <w:rFonts w:ascii="Arial" w:hAnsi="Arial" w:cs="Arial"/>
        </w:rPr>
        <w:t xml:space="preserve"> </w:t>
      </w:r>
      <w:r w:rsidRPr="00633251">
        <w:rPr>
          <w:rFonts w:ascii="Arial" w:hAnsi="Arial" w:cs="Arial"/>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B77D44">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9"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B77D44">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9"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B77D44">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9"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B77D44">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9"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B77D44">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9"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B77D44">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9"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B77D44">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9"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B77D44">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9"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B77D44">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9"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B77D44">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9"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B77D44">
        <w:trPr>
          <w:trHeight w:val="419"/>
        </w:trPr>
        <w:tc>
          <w:tcPr>
            <w:tcW w:w="4718" w:type="dxa"/>
            <w:shd w:val="clear" w:color="auto" w:fill="auto"/>
            <w:vAlign w:val="center"/>
          </w:tcPr>
          <w:p w14:paraId="529764A3" w14:textId="2A15E211" w:rsidR="00424BED" w:rsidRPr="00633251" w:rsidRDefault="00B77D44" w:rsidP="005A0A1E">
            <w:pPr>
              <w:jc w:val="both"/>
              <w:rPr>
                <w:rFonts w:ascii="Arial" w:hAnsi="Arial" w:cs="Arial"/>
              </w:rPr>
            </w:pPr>
            <w:r>
              <w:rPr>
                <w:rFonts w:ascii="Arial" w:hAnsi="Arial" w:cs="Arial"/>
              </w:rPr>
              <w:t>Cijena ponude mjesečno u eurima bez PDV-a:</w:t>
            </w:r>
          </w:p>
        </w:tc>
        <w:tc>
          <w:tcPr>
            <w:tcW w:w="4839" w:type="dxa"/>
            <w:vAlign w:val="center"/>
          </w:tcPr>
          <w:p w14:paraId="14FCA326" w14:textId="77777777" w:rsidR="00424BED" w:rsidRPr="00633251" w:rsidRDefault="00424BED" w:rsidP="005B5700">
            <w:pPr>
              <w:jc w:val="both"/>
              <w:rPr>
                <w:rFonts w:ascii="Arial" w:hAnsi="Arial" w:cs="Arial"/>
                <w:b/>
              </w:rPr>
            </w:pPr>
          </w:p>
        </w:tc>
      </w:tr>
      <w:tr w:rsidR="00B77D44" w:rsidRPr="00633251" w14:paraId="0046F74D" w14:textId="77777777" w:rsidTr="00B77D44">
        <w:trPr>
          <w:trHeight w:val="419"/>
        </w:trPr>
        <w:tc>
          <w:tcPr>
            <w:tcW w:w="4718" w:type="dxa"/>
            <w:shd w:val="clear" w:color="auto" w:fill="auto"/>
            <w:vAlign w:val="center"/>
          </w:tcPr>
          <w:p w14:paraId="2518AA00" w14:textId="07090B34" w:rsidR="00B77D44" w:rsidRPr="00633251" w:rsidRDefault="00B77D44" w:rsidP="005A0A1E">
            <w:pPr>
              <w:jc w:val="both"/>
              <w:rPr>
                <w:rFonts w:ascii="Arial" w:hAnsi="Arial" w:cs="Arial"/>
              </w:rPr>
            </w:pPr>
            <w:r w:rsidRPr="00633251">
              <w:rPr>
                <w:rFonts w:ascii="Arial" w:hAnsi="Arial" w:cs="Arial"/>
              </w:rPr>
              <w:t xml:space="preserve">Cijena ponude </w:t>
            </w:r>
            <w:r>
              <w:rPr>
                <w:rFonts w:ascii="Arial" w:hAnsi="Arial" w:cs="Arial"/>
              </w:rPr>
              <w:t xml:space="preserve">ukupno za 12 mjeseci u eurima </w:t>
            </w:r>
            <w:r w:rsidRPr="00633251">
              <w:rPr>
                <w:rFonts w:ascii="Arial" w:hAnsi="Arial" w:cs="Arial"/>
              </w:rPr>
              <w:t>bez PDV-a</w:t>
            </w:r>
            <w:r>
              <w:rPr>
                <w:rFonts w:ascii="Arial" w:hAnsi="Arial" w:cs="Arial"/>
              </w:rPr>
              <w:t>:</w:t>
            </w:r>
          </w:p>
        </w:tc>
        <w:tc>
          <w:tcPr>
            <w:tcW w:w="4839" w:type="dxa"/>
            <w:vAlign w:val="center"/>
          </w:tcPr>
          <w:p w14:paraId="3E3E8A28" w14:textId="77777777" w:rsidR="00B77D44" w:rsidRPr="00633251" w:rsidRDefault="00B77D44" w:rsidP="005B5700">
            <w:pPr>
              <w:jc w:val="both"/>
              <w:rPr>
                <w:rFonts w:ascii="Arial" w:hAnsi="Arial" w:cs="Arial"/>
                <w:b/>
              </w:rPr>
            </w:pPr>
          </w:p>
        </w:tc>
      </w:tr>
      <w:tr w:rsidR="00424BED" w:rsidRPr="00633251" w14:paraId="698C62FA" w14:textId="77777777" w:rsidTr="00B77D44">
        <w:trPr>
          <w:trHeight w:val="454"/>
        </w:trPr>
        <w:tc>
          <w:tcPr>
            <w:tcW w:w="4718" w:type="dxa"/>
            <w:shd w:val="clear" w:color="auto" w:fill="auto"/>
            <w:vAlign w:val="center"/>
          </w:tcPr>
          <w:p w14:paraId="49CA4D0F" w14:textId="3EF2A360"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sidR="00B77D44">
              <w:rPr>
                <w:rFonts w:ascii="Arial" w:hAnsi="Arial" w:cs="Arial"/>
              </w:rPr>
              <w:t>:</w:t>
            </w:r>
          </w:p>
        </w:tc>
        <w:tc>
          <w:tcPr>
            <w:tcW w:w="4839"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B77D44">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9"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B77D44">
        <w:trPr>
          <w:trHeight w:val="447"/>
        </w:trPr>
        <w:tc>
          <w:tcPr>
            <w:tcW w:w="4718" w:type="dxa"/>
            <w:shd w:val="clear" w:color="auto" w:fill="auto"/>
            <w:vAlign w:val="center"/>
          </w:tcPr>
          <w:p w14:paraId="67456F5A" w14:textId="0198294B" w:rsidR="00424BED" w:rsidRPr="00633251" w:rsidRDefault="00424BED" w:rsidP="005B5700">
            <w:pPr>
              <w:rPr>
                <w:rFonts w:ascii="Arial" w:hAnsi="Arial" w:cs="Arial"/>
                <w:b/>
              </w:rPr>
            </w:pPr>
            <w:r w:rsidRPr="00633251">
              <w:rPr>
                <w:rFonts w:ascii="Arial" w:hAnsi="Arial" w:cs="Arial"/>
              </w:rPr>
              <w:t xml:space="preserve">Rok valjanosti ponude  </w:t>
            </w:r>
            <w:r>
              <w:rPr>
                <w:rFonts w:ascii="Arial" w:hAnsi="Arial" w:cs="Arial"/>
              </w:rPr>
              <w:t xml:space="preserve">                             </w:t>
            </w:r>
            <w:r w:rsidRPr="00633251">
              <w:rPr>
                <w:rFonts w:ascii="Arial" w:hAnsi="Arial" w:cs="Arial"/>
              </w:rPr>
              <w:t>(</w:t>
            </w:r>
            <w:r w:rsidR="0089678E">
              <w:rPr>
                <w:rFonts w:ascii="Arial" w:hAnsi="Arial" w:cs="Arial"/>
              </w:rPr>
              <w:t xml:space="preserve">60 </w:t>
            </w:r>
            <w:r w:rsidRPr="00633251">
              <w:rPr>
                <w:rFonts w:ascii="Arial" w:hAnsi="Arial" w:cs="Arial"/>
              </w:rPr>
              <w:t>dana)</w:t>
            </w:r>
          </w:p>
        </w:tc>
        <w:tc>
          <w:tcPr>
            <w:tcW w:w="4839"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B77D44">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9" w:type="dxa"/>
            <w:vAlign w:val="center"/>
          </w:tcPr>
          <w:p w14:paraId="69A16350" w14:textId="77777777" w:rsidR="00424BED" w:rsidRPr="00633251" w:rsidRDefault="00424BED" w:rsidP="005B5700">
            <w:pPr>
              <w:jc w:val="both"/>
              <w:rPr>
                <w:rFonts w:ascii="Arial" w:hAnsi="Arial" w:cs="Arial"/>
                <w:b/>
              </w:rPr>
            </w:pPr>
          </w:p>
        </w:tc>
      </w:tr>
    </w:tbl>
    <w:p w14:paraId="7480DFDB" w14:textId="77777777" w:rsidR="00B77D44" w:rsidRPr="00B77D44" w:rsidRDefault="00B77D44" w:rsidP="00B77D44">
      <w:pPr>
        <w:spacing w:before="100" w:beforeAutospacing="1" w:after="100" w:afterAutospacing="1"/>
        <w:jc w:val="both"/>
        <w:rPr>
          <w:rFonts w:ascii="Arial" w:hAnsi="Arial" w:cs="Arial"/>
        </w:rPr>
      </w:pPr>
      <w:bookmarkStart w:id="114" w:name="_Hlk181867248"/>
      <w:r w:rsidRPr="00B77D44">
        <w:rPr>
          <w:rFonts w:ascii="Arial" w:hAnsi="Arial" w:cs="Arial"/>
        </w:rPr>
        <w:t>- podrška i upravljanje informatičkim sustavom, podrška i savjetovanje vezano za održivost IT sustava naručitelja.</w:t>
      </w:r>
    </w:p>
    <w:bookmarkEnd w:id="114"/>
    <w:p w14:paraId="0F18C853" w14:textId="77777777" w:rsidR="00B77D44" w:rsidRPr="00B77D44" w:rsidRDefault="00B77D44" w:rsidP="00B77D44">
      <w:pPr>
        <w:spacing w:before="100" w:beforeAutospacing="1" w:after="100" w:afterAutospacing="1"/>
        <w:jc w:val="both"/>
        <w:rPr>
          <w:rFonts w:ascii="Arial" w:hAnsi="Arial" w:cs="Arial"/>
        </w:rPr>
      </w:pPr>
      <w:r w:rsidRPr="00B77D44">
        <w:rPr>
          <w:rFonts w:ascii="Arial" w:hAnsi="Arial" w:cs="Arial"/>
        </w:rPr>
        <w:lastRenderedPageBreak/>
        <w:t>- dostupnost monitoringa IT sustavom tijekom perioda trajanja ugovora.</w:t>
      </w:r>
    </w:p>
    <w:p w14:paraId="44C9E40E" w14:textId="77777777" w:rsidR="00B77D44" w:rsidRPr="00B77D44" w:rsidRDefault="00B77D44" w:rsidP="00B77D44">
      <w:pPr>
        <w:spacing w:before="100" w:beforeAutospacing="1" w:after="100" w:afterAutospacing="1"/>
        <w:jc w:val="both"/>
        <w:rPr>
          <w:rFonts w:ascii="Arial" w:hAnsi="Arial" w:cs="Arial"/>
        </w:rPr>
      </w:pPr>
      <w:r w:rsidRPr="00B77D44">
        <w:rPr>
          <w:rFonts w:ascii="Arial" w:hAnsi="Arial" w:cs="Arial"/>
        </w:rPr>
        <w:t>- usluga monitoringa IT sustava osigurana u neprekidnom periodu od 24 sata, 7 dana u tjednu tijekom trajanja ugovora.</w:t>
      </w:r>
    </w:p>
    <w:p w14:paraId="103EC701" w14:textId="77777777" w:rsidR="00B77D44" w:rsidRPr="00B77D44" w:rsidRDefault="00B77D44" w:rsidP="00B77D44">
      <w:pPr>
        <w:spacing w:before="100" w:beforeAutospacing="1" w:after="100" w:afterAutospacing="1"/>
        <w:jc w:val="both"/>
        <w:rPr>
          <w:rFonts w:ascii="Arial" w:hAnsi="Arial" w:cs="Arial"/>
        </w:rPr>
      </w:pPr>
      <w:r w:rsidRPr="00B77D44">
        <w:rPr>
          <w:rFonts w:ascii="Arial" w:hAnsi="Arial" w:cs="Arial"/>
        </w:rPr>
        <w:t>- certificirane osobe za izvršavanje ugovora.</w:t>
      </w:r>
    </w:p>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5" w:name="_Toc322071940"/>
      <w:bookmarkStart w:id="116"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5"/>
    <w:bookmarkEnd w:id="116"/>
    <w:p w14:paraId="30EBF3D6" w14:textId="1DF01891" w:rsidR="00424BED" w:rsidRPr="00E7662F" w:rsidRDefault="00424BED" w:rsidP="00424BED">
      <w:pPr>
        <w:rPr>
          <w:rFonts w:ascii="Arial" w:hAnsi="Arial" w:cs="Arial"/>
          <w:sz w:val="20"/>
          <w:szCs w:val="20"/>
        </w:rPr>
      </w:pPr>
    </w:p>
    <w:p w14:paraId="2CE40324" w14:textId="77777777" w:rsidR="00B77D44" w:rsidRDefault="00B77D44" w:rsidP="00424BED">
      <w:pPr>
        <w:tabs>
          <w:tab w:val="left" w:pos="567"/>
        </w:tabs>
        <w:ind w:right="-284"/>
        <w:rPr>
          <w:rFonts w:ascii="Arial" w:hAnsi="Arial" w:cs="Arial"/>
          <w:b/>
        </w:rPr>
      </w:pPr>
    </w:p>
    <w:p w14:paraId="749BB412" w14:textId="77777777" w:rsidR="00B77D44" w:rsidRDefault="00B77D44" w:rsidP="00424BED">
      <w:pPr>
        <w:tabs>
          <w:tab w:val="left" w:pos="567"/>
        </w:tabs>
        <w:ind w:right="-284"/>
        <w:rPr>
          <w:rFonts w:ascii="Arial" w:hAnsi="Arial" w:cs="Arial"/>
          <w:b/>
        </w:rPr>
      </w:pPr>
    </w:p>
    <w:p w14:paraId="11DAAF4B" w14:textId="77777777" w:rsidR="00B77D44" w:rsidRDefault="00B77D44" w:rsidP="00424BED">
      <w:pPr>
        <w:tabs>
          <w:tab w:val="left" w:pos="567"/>
        </w:tabs>
        <w:ind w:right="-284"/>
        <w:rPr>
          <w:rFonts w:ascii="Arial" w:hAnsi="Arial" w:cs="Arial"/>
          <w:b/>
        </w:rPr>
      </w:pPr>
    </w:p>
    <w:p w14:paraId="0C1022F9" w14:textId="77777777" w:rsidR="00B77D44" w:rsidRDefault="00B77D44" w:rsidP="00424BED">
      <w:pPr>
        <w:tabs>
          <w:tab w:val="left" w:pos="567"/>
        </w:tabs>
        <w:ind w:right="-284"/>
        <w:rPr>
          <w:rFonts w:ascii="Arial" w:hAnsi="Arial" w:cs="Arial"/>
          <w:b/>
        </w:rPr>
      </w:pPr>
    </w:p>
    <w:p w14:paraId="2A6136AD" w14:textId="77777777" w:rsidR="00B77D44" w:rsidRDefault="00B77D44" w:rsidP="00424BED">
      <w:pPr>
        <w:tabs>
          <w:tab w:val="left" w:pos="567"/>
        </w:tabs>
        <w:ind w:right="-284"/>
        <w:rPr>
          <w:rFonts w:ascii="Arial" w:hAnsi="Arial" w:cs="Arial"/>
          <w:b/>
        </w:rPr>
      </w:pPr>
    </w:p>
    <w:p w14:paraId="0D0F39EB" w14:textId="77777777" w:rsidR="00B77D44" w:rsidRDefault="00B77D44" w:rsidP="00424BED">
      <w:pPr>
        <w:tabs>
          <w:tab w:val="left" w:pos="567"/>
        </w:tabs>
        <w:ind w:right="-284"/>
        <w:rPr>
          <w:rFonts w:ascii="Arial" w:hAnsi="Arial" w:cs="Arial"/>
          <w:b/>
        </w:rPr>
      </w:pPr>
    </w:p>
    <w:p w14:paraId="1C856314" w14:textId="77777777" w:rsidR="00B77D44" w:rsidRDefault="00B77D44" w:rsidP="00424BED">
      <w:pPr>
        <w:tabs>
          <w:tab w:val="left" w:pos="567"/>
        </w:tabs>
        <w:ind w:right="-284"/>
        <w:rPr>
          <w:rFonts w:ascii="Arial" w:hAnsi="Arial" w:cs="Arial"/>
          <w:b/>
        </w:rPr>
      </w:pPr>
    </w:p>
    <w:p w14:paraId="7FBEB3D5" w14:textId="77777777" w:rsidR="00B77D44" w:rsidRDefault="00B77D44" w:rsidP="00424BED">
      <w:pPr>
        <w:tabs>
          <w:tab w:val="left" w:pos="567"/>
        </w:tabs>
        <w:ind w:right="-284"/>
        <w:rPr>
          <w:rFonts w:ascii="Arial" w:hAnsi="Arial" w:cs="Arial"/>
          <w:b/>
        </w:rPr>
      </w:pPr>
    </w:p>
    <w:p w14:paraId="45EAF5E6" w14:textId="77777777" w:rsidR="00B77D44" w:rsidRDefault="00B77D44" w:rsidP="00424BED">
      <w:pPr>
        <w:tabs>
          <w:tab w:val="left" w:pos="567"/>
        </w:tabs>
        <w:ind w:right="-284"/>
        <w:rPr>
          <w:rFonts w:ascii="Arial" w:hAnsi="Arial" w:cs="Arial"/>
          <w:b/>
        </w:rPr>
      </w:pPr>
    </w:p>
    <w:p w14:paraId="2740AECA" w14:textId="77777777" w:rsidR="00B77D44" w:rsidRDefault="00B77D44" w:rsidP="00424BED">
      <w:pPr>
        <w:tabs>
          <w:tab w:val="left" w:pos="567"/>
        </w:tabs>
        <w:ind w:right="-284"/>
        <w:rPr>
          <w:rFonts w:ascii="Arial" w:hAnsi="Arial" w:cs="Arial"/>
          <w:b/>
        </w:rPr>
      </w:pPr>
    </w:p>
    <w:p w14:paraId="4278F5D2" w14:textId="77777777" w:rsidR="00B77D44" w:rsidRDefault="00B77D44" w:rsidP="00424BED">
      <w:pPr>
        <w:tabs>
          <w:tab w:val="left" w:pos="567"/>
        </w:tabs>
        <w:ind w:right="-284"/>
        <w:rPr>
          <w:rFonts w:ascii="Arial" w:hAnsi="Arial" w:cs="Arial"/>
          <w:b/>
        </w:rPr>
      </w:pPr>
    </w:p>
    <w:p w14:paraId="58E01743" w14:textId="77777777" w:rsidR="00B77D44" w:rsidRDefault="00B77D44" w:rsidP="00424BED">
      <w:pPr>
        <w:tabs>
          <w:tab w:val="left" w:pos="567"/>
        </w:tabs>
        <w:ind w:right="-284"/>
        <w:rPr>
          <w:rFonts w:ascii="Arial" w:hAnsi="Arial" w:cs="Arial"/>
          <w:b/>
        </w:rPr>
      </w:pPr>
    </w:p>
    <w:p w14:paraId="3971A1A9" w14:textId="77777777" w:rsidR="00B77D44" w:rsidRDefault="00B77D44" w:rsidP="00424BED">
      <w:pPr>
        <w:tabs>
          <w:tab w:val="left" w:pos="567"/>
        </w:tabs>
        <w:ind w:right="-284"/>
        <w:rPr>
          <w:rFonts w:ascii="Arial" w:hAnsi="Arial" w:cs="Arial"/>
          <w:b/>
        </w:rPr>
      </w:pPr>
    </w:p>
    <w:p w14:paraId="3EED5A86" w14:textId="77777777" w:rsidR="00B77D44" w:rsidRDefault="00B77D44" w:rsidP="00424BED">
      <w:pPr>
        <w:tabs>
          <w:tab w:val="left" w:pos="567"/>
        </w:tabs>
        <w:ind w:right="-284"/>
        <w:rPr>
          <w:rFonts w:ascii="Arial" w:hAnsi="Arial" w:cs="Arial"/>
          <w:b/>
        </w:rPr>
      </w:pPr>
    </w:p>
    <w:p w14:paraId="20648095" w14:textId="77777777" w:rsidR="00B77D44" w:rsidRDefault="00B77D44" w:rsidP="00424BED">
      <w:pPr>
        <w:tabs>
          <w:tab w:val="left" w:pos="567"/>
        </w:tabs>
        <w:ind w:right="-284"/>
        <w:rPr>
          <w:rFonts w:ascii="Arial" w:hAnsi="Arial" w:cs="Arial"/>
          <w:b/>
        </w:rPr>
      </w:pPr>
    </w:p>
    <w:p w14:paraId="4BA6531A" w14:textId="77777777" w:rsidR="00B77D44" w:rsidRDefault="00B77D44" w:rsidP="00424BED">
      <w:pPr>
        <w:tabs>
          <w:tab w:val="left" w:pos="567"/>
        </w:tabs>
        <w:ind w:right="-284"/>
        <w:rPr>
          <w:rFonts w:ascii="Arial" w:hAnsi="Arial" w:cs="Arial"/>
          <w:b/>
        </w:rPr>
      </w:pPr>
    </w:p>
    <w:p w14:paraId="090C5FB7" w14:textId="77777777" w:rsidR="00B77D44" w:rsidRDefault="00B77D44" w:rsidP="00424BED">
      <w:pPr>
        <w:tabs>
          <w:tab w:val="left" w:pos="567"/>
        </w:tabs>
        <w:ind w:right="-284"/>
        <w:rPr>
          <w:rFonts w:ascii="Arial" w:hAnsi="Arial" w:cs="Arial"/>
          <w:b/>
        </w:rPr>
      </w:pPr>
    </w:p>
    <w:p w14:paraId="0A862AB3" w14:textId="77777777" w:rsidR="00B77D44" w:rsidRDefault="00B77D44" w:rsidP="00424BED">
      <w:pPr>
        <w:tabs>
          <w:tab w:val="left" w:pos="567"/>
        </w:tabs>
        <w:ind w:right="-284"/>
        <w:rPr>
          <w:rFonts w:ascii="Arial" w:hAnsi="Arial" w:cs="Arial"/>
          <w:b/>
        </w:rPr>
      </w:pPr>
    </w:p>
    <w:p w14:paraId="7AB365CF" w14:textId="77777777" w:rsidR="00B77D44" w:rsidRDefault="00B77D44" w:rsidP="00424BED">
      <w:pPr>
        <w:tabs>
          <w:tab w:val="left" w:pos="567"/>
        </w:tabs>
        <w:ind w:right="-284"/>
        <w:rPr>
          <w:rFonts w:ascii="Arial" w:hAnsi="Arial" w:cs="Arial"/>
          <w:b/>
        </w:rPr>
      </w:pPr>
    </w:p>
    <w:p w14:paraId="282089B3" w14:textId="77777777" w:rsidR="00B77D44" w:rsidRDefault="00B77D44" w:rsidP="00424BED">
      <w:pPr>
        <w:tabs>
          <w:tab w:val="left" w:pos="567"/>
        </w:tabs>
        <w:ind w:right="-284"/>
        <w:rPr>
          <w:rFonts w:ascii="Arial" w:hAnsi="Arial" w:cs="Arial"/>
          <w:b/>
        </w:rPr>
      </w:pPr>
    </w:p>
    <w:p w14:paraId="1601AF2A" w14:textId="77777777" w:rsidR="00B77D44" w:rsidRDefault="00B77D44" w:rsidP="00424BED">
      <w:pPr>
        <w:tabs>
          <w:tab w:val="left" w:pos="567"/>
        </w:tabs>
        <w:ind w:right="-284"/>
        <w:rPr>
          <w:rFonts w:ascii="Arial" w:hAnsi="Arial" w:cs="Arial"/>
          <w:b/>
        </w:rPr>
      </w:pPr>
    </w:p>
    <w:p w14:paraId="5B9BC733" w14:textId="77777777" w:rsidR="00B77D44" w:rsidRDefault="00B77D44" w:rsidP="00424BED">
      <w:pPr>
        <w:tabs>
          <w:tab w:val="left" w:pos="567"/>
        </w:tabs>
        <w:ind w:right="-284"/>
        <w:rPr>
          <w:rFonts w:ascii="Arial" w:hAnsi="Arial" w:cs="Arial"/>
          <w:b/>
        </w:rPr>
      </w:pPr>
    </w:p>
    <w:p w14:paraId="6771CAAD" w14:textId="77777777" w:rsidR="00B77D44" w:rsidRDefault="00B77D44" w:rsidP="00424BED">
      <w:pPr>
        <w:tabs>
          <w:tab w:val="left" w:pos="567"/>
        </w:tabs>
        <w:ind w:right="-284"/>
        <w:rPr>
          <w:rFonts w:ascii="Arial" w:hAnsi="Arial" w:cs="Arial"/>
          <w:b/>
        </w:rPr>
      </w:pPr>
    </w:p>
    <w:p w14:paraId="2DB866F9" w14:textId="77777777" w:rsidR="00B77D44" w:rsidRDefault="00B77D44" w:rsidP="00424BED">
      <w:pPr>
        <w:tabs>
          <w:tab w:val="left" w:pos="567"/>
        </w:tabs>
        <w:ind w:right="-284"/>
        <w:rPr>
          <w:rFonts w:ascii="Arial" w:hAnsi="Arial" w:cs="Arial"/>
          <w:b/>
        </w:rPr>
      </w:pPr>
    </w:p>
    <w:p w14:paraId="0CD264C4" w14:textId="77777777" w:rsidR="00B77D44" w:rsidRDefault="00B77D44" w:rsidP="00424BED">
      <w:pPr>
        <w:tabs>
          <w:tab w:val="left" w:pos="567"/>
        </w:tabs>
        <w:ind w:right="-284"/>
        <w:rPr>
          <w:rFonts w:ascii="Arial" w:hAnsi="Arial" w:cs="Arial"/>
          <w:b/>
        </w:rPr>
      </w:pPr>
    </w:p>
    <w:p w14:paraId="4B13E97C" w14:textId="77777777" w:rsidR="00B77D44" w:rsidRDefault="00B77D44" w:rsidP="00424BED">
      <w:pPr>
        <w:tabs>
          <w:tab w:val="left" w:pos="567"/>
        </w:tabs>
        <w:ind w:right="-284"/>
        <w:rPr>
          <w:rFonts w:ascii="Arial" w:hAnsi="Arial" w:cs="Arial"/>
          <w:b/>
        </w:rPr>
      </w:pPr>
    </w:p>
    <w:p w14:paraId="1C9D5CC0" w14:textId="77777777" w:rsidR="00B77D44" w:rsidRDefault="00B77D44" w:rsidP="00424BED">
      <w:pPr>
        <w:tabs>
          <w:tab w:val="left" w:pos="567"/>
        </w:tabs>
        <w:ind w:right="-284"/>
        <w:rPr>
          <w:rFonts w:ascii="Arial" w:hAnsi="Arial" w:cs="Arial"/>
          <w:b/>
        </w:rPr>
      </w:pPr>
    </w:p>
    <w:p w14:paraId="6D69E7A4" w14:textId="77777777" w:rsidR="00B77D44" w:rsidRDefault="00B77D44" w:rsidP="00424BED">
      <w:pPr>
        <w:tabs>
          <w:tab w:val="left" w:pos="567"/>
        </w:tabs>
        <w:ind w:right="-284"/>
        <w:rPr>
          <w:rFonts w:ascii="Arial" w:hAnsi="Arial" w:cs="Arial"/>
          <w:b/>
        </w:rPr>
      </w:pPr>
    </w:p>
    <w:p w14:paraId="78A2DB06" w14:textId="77777777" w:rsidR="00B77D44" w:rsidRDefault="00B77D44" w:rsidP="00424BED">
      <w:pPr>
        <w:tabs>
          <w:tab w:val="left" w:pos="567"/>
        </w:tabs>
        <w:ind w:right="-284"/>
        <w:rPr>
          <w:rFonts w:ascii="Arial" w:hAnsi="Arial" w:cs="Arial"/>
          <w:b/>
        </w:rPr>
      </w:pPr>
    </w:p>
    <w:p w14:paraId="5615B6BA" w14:textId="77777777" w:rsidR="00B77D44" w:rsidRDefault="00B77D44" w:rsidP="00424BED">
      <w:pPr>
        <w:tabs>
          <w:tab w:val="left" w:pos="567"/>
        </w:tabs>
        <w:ind w:right="-284"/>
        <w:rPr>
          <w:rFonts w:ascii="Arial" w:hAnsi="Arial" w:cs="Arial"/>
          <w:b/>
        </w:rPr>
      </w:pPr>
    </w:p>
    <w:p w14:paraId="6E06BA75" w14:textId="77777777" w:rsidR="00B77D44" w:rsidRDefault="00B77D44" w:rsidP="00424BED">
      <w:pPr>
        <w:tabs>
          <w:tab w:val="left" w:pos="567"/>
        </w:tabs>
        <w:ind w:right="-284"/>
        <w:rPr>
          <w:rFonts w:ascii="Arial" w:hAnsi="Arial" w:cs="Arial"/>
          <w:b/>
        </w:rPr>
      </w:pPr>
    </w:p>
    <w:p w14:paraId="1E683F29" w14:textId="77777777" w:rsidR="00B77D44" w:rsidRDefault="00B77D44" w:rsidP="00424BED">
      <w:pPr>
        <w:tabs>
          <w:tab w:val="left" w:pos="567"/>
        </w:tabs>
        <w:ind w:right="-284"/>
        <w:rPr>
          <w:rFonts w:ascii="Arial" w:hAnsi="Arial" w:cs="Arial"/>
          <w:b/>
        </w:rPr>
      </w:pPr>
    </w:p>
    <w:p w14:paraId="16EC7FD4" w14:textId="77777777" w:rsidR="00B77D44" w:rsidRDefault="00B77D44" w:rsidP="00424BED">
      <w:pPr>
        <w:tabs>
          <w:tab w:val="left" w:pos="567"/>
        </w:tabs>
        <w:ind w:right="-284"/>
        <w:rPr>
          <w:rFonts w:ascii="Arial" w:hAnsi="Arial" w:cs="Arial"/>
          <w:b/>
        </w:rPr>
      </w:pPr>
    </w:p>
    <w:p w14:paraId="72023A7B" w14:textId="77777777" w:rsidR="00B77D44" w:rsidRDefault="00B77D44" w:rsidP="00424BED">
      <w:pPr>
        <w:tabs>
          <w:tab w:val="left" w:pos="567"/>
        </w:tabs>
        <w:ind w:right="-284"/>
        <w:rPr>
          <w:rFonts w:ascii="Arial" w:hAnsi="Arial" w:cs="Arial"/>
          <w:b/>
        </w:rPr>
      </w:pPr>
    </w:p>
    <w:p w14:paraId="0D5183DF" w14:textId="77777777" w:rsidR="00B77D44" w:rsidRDefault="00B77D44" w:rsidP="00424BED">
      <w:pPr>
        <w:tabs>
          <w:tab w:val="left" w:pos="567"/>
        </w:tabs>
        <w:ind w:right="-284"/>
        <w:rPr>
          <w:rFonts w:ascii="Arial" w:hAnsi="Arial" w:cs="Arial"/>
          <w:b/>
        </w:rPr>
      </w:pPr>
    </w:p>
    <w:p w14:paraId="30EC0687" w14:textId="77777777" w:rsidR="00B77D44" w:rsidRDefault="00B77D44" w:rsidP="00424BED">
      <w:pPr>
        <w:tabs>
          <w:tab w:val="left" w:pos="567"/>
        </w:tabs>
        <w:ind w:right="-284"/>
        <w:rPr>
          <w:rFonts w:ascii="Arial" w:hAnsi="Arial" w:cs="Arial"/>
          <w:b/>
        </w:rPr>
      </w:pPr>
    </w:p>
    <w:p w14:paraId="7E4E608E" w14:textId="77777777" w:rsidR="00B77D44" w:rsidRDefault="00B77D44" w:rsidP="00424BED">
      <w:pPr>
        <w:tabs>
          <w:tab w:val="left" w:pos="567"/>
        </w:tabs>
        <w:ind w:right="-284"/>
        <w:rPr>
          <w:rFonts w:ascii="Arial" w:hAnsi="Arial" w:cs="Arial"/>
          <w:b/>
        </w:rPr>
      </w:pPr>
    </w:p>
    <w:p w14:paraId="398A4E19" w14:textId="77777777" w:rsidR="00B77D44" w:rsidRDefault="00B77D44" w:rsidP="00424BED">
      <w:pPr>
        <w:tabs>
          <w:tab w:val="left" w:pos="567"/>
        </w:tabs>
        <w:ind w:right="-284"/>
        <w:rPr>
          <w:rFonts w:ascii="Arial" w:hAnsi="Arial" w:cs="Arial"/>
          <w:b/>
        </w:rPr>
      </w:pPr>
    </w:p>
    <w:p w14:paraId="620BA45F" w14:textId="77777777" w:rsidR="00B77D44" w:rsidRDefault="00B77D44" w:rsidP="00424BED">
      <w:pPr>
        <w:tabs>
          <w:tab w:val="left" w:pos="567"/>
        </w:tabs>
        <w:ind w:right="-284"/>
        <w:rPr>
          <w:rFonts w:ascii="Arial" w:hAnsi="Arial" w:cs="Arial"/>
          <w:b/>
        </w:rPr>
      </w:pPr>
    </w:p>
    <w:p w14:paraId="692AC7D4" w14:textId="77777777" w:rsidR="00B77D44" w:rsidRDefault="00B77D44" w:rsidP="00424BED">
      <w:pPr>
        <w:tabs>
          <w:tab w:val="left" w:pos="567"/>
        </w:tabs>
        <w:ind w:right="-284"/>
        <w:rPr>
          <w:rFonts w:ascii="Arial" w:hAnsi="Arial" w:cs="Arial"/>
          <w:b/>
        </w:rPr>
      </w:pPr>
    </w:p>
    <w:p w14:paraId="66F61AAD" w14:textId="73ADAF4B" w:rsidR="00424BED" w:rsidRPr="00AD3B19" w:rsidRDefault="00424BED" w:rsidP="00424BED">
      <w:pPr>
        <w:tabs>
          <w:tab w:val="left" w:pos="567"/>
        </w:tabs>
        <w:ind w:right="-284"/>
        <w:rPr>
          <w:rFonts w:ascii="Arial" w:hAnsi="Arial" w:cs="Arial"/>
          <w:b/>
        </w:rPr>
      </w:pPr>
      <w:r w:rsidRPr="003D2A1B">
        <w:rPr>
          <w:rFonts w:ascii="Arial" w:hAnsi="Arial" w:cs="Arial"/>
          <w:b/>
        </w:rPr>
        <w:t>Prilog 1.A. Zajednica gospodarskih subjekata</w:t>
      </w:r>
      <w:r w:rsidR="00A24D27" w:rsidRPr="003D2A1B">
        <w:rPr>
          <w:rFonts w:ascii="Arial" w:hAnsi="Arial" w:cs="Arial"/>
          <w:b/>
        </w:rPr>
        <w:t xml:space="preserve"> (priložiti/popuniti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0F861BA5"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0A2892">
        <w:rPr>
          <w:rFonts w:ascii="Arial" w:hAnsi="Arial" w:cs="Arial"/>
          <w:bCs/>
        </w:rPr>
        <w:t>2</w:t>
      </w:r>
      <w:r w:rsidR="003D2A1B">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AD3B19">
        <w:rPr>
          <w:rFonts w:ascii="Arial" w:hAnsi="Arial" w:cs="Arial"/>
          <w:b/>
        </w:rPr>
        <w:t xml:space="preserve">Prilog 1.B. Podaci o podugovarateljima </w:t>
      </w:r>
      <w:r w:rsidRPr="003D2A1B">
        <w:rPr>
          <w:rFonts w:ascii="Arial" w:hAnsi="Arial" w:cs="Arial"/>
          <w:bCs/>
          <w:u w:val="single"/>
        </w:rPr>
        <w:t>(priložiti/popuniti samo u slučaju ako se dio ugovora ustupa podugovarateljima</w:t>
      </w:r>
      <w:r w:rsidRPr="003D2A1B">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622101C3" w:rsidR="00A24D27" w:rsidRPr="00AD3B19" w:rsidRDefault="00A24D27" w:rsidP="00A24D27">
      <w:pPr>
        <w:tabs>
          <w:tab w:val="left" w:pos="567"/>
        </w:tabs>
        <w:ind w:right="-284"/>
        <w:jc w:val="both"/>
        <w:rPr>
          <w:rFonts w:ascii="Arial" w:hAnsi="Arial" w:cs="Arial"/>
          <w:bCs/>
        </w:rPr>
      </w:pPr>
      <w:r w:rsidRPr="00AD3B19">
        <w:rPr>
          <w:rFonts w:ascii="Arial" w:hAnsi="Arial" w:cs="Arial"/>
          <w:bCs/>
        </w:rPr>
        <w:t>U ______________, __.__.20</w:t>
      </w:r>
      <w:r w:rsidR="00B61922">
        <w:rPr>
          <w:rFonts w:ascii="Arial" w:hAnsi="Arial" w:cs="Arial"/>
          <w:bCs/>
        </w:rPr>
        <w:t>2</w:t>
      </w:r>
      <w:r w:rsidR="003D2A1B">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Default="00A24D27" w:rsidP="00424BED">
      <w:pPr>
        <w:spacing w:after="160" w:line="259" w:lineRule="auto"/>
        <w:ind w:right="-284"/>
        <w:jc w:val="both"/>
        <w:rPr>
          <w:rFonts w:ascii="Arial Narrow" w:hAnsi="Arial Narrow"/>
          <w:highlight w:val="lightGray"/>
          <w:u w:val="single"/>
        </w:rPr>
      </w:pPr>
    </w:p>
    <w:p w14:paraId="2CF5D9F5" w14:textId="77777777" w:rsidR="00C26785" w:rsidRPr="00D44D5F" w:rsidRDefault="00C26785"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xml:space="preserve">- članka 224. (prijevara), članka 293. (prijevara u gospodarskom poslovanju) i članka 286. (utaja poreza i drugih davanja) iz Kaznenog zakona („Narodne novine“, br. </w:t>
      </w:r>
      <w:r w:rsidRPr="00AD3B19">
        <w:rPr>
          <w:rFonts w:ascii="Arial" w:hAnsi="Arial" w:cs="Arial"/>
          <w:bCs/>
          <w:lang w:bidi="hr-HR"/>
        </w:rPr>
        <w:lastRenderedPageBreak/>
        <w:t>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645A0E7F" w:rsidR="00424BED" w:rsidRPr="00AD3B19" w:rsidRDefault="00424BED" w:rsidP="00424BED">
      <w:pPr>
        <w:tabs>
          <w:tab w:val="left" w:pos="567"/>
        </w:tabs>
        <w:ind w:right="-284"/>
        <w:jc w:val="both"/>
        <w:rPr>
          <w:rFonts w:ascii="Arial" w:hAnsi="Arial" w:cs="Arial"/>
          <w:bCs/>
        </w:rPr>
      </w:pPr>
      <w:r w:rsidRPr="00AD3B19">
        <w:rPr>
          <w:rFonts w:ascii="Arial" w:hAnsi="Arial" w:cs="Arial"/>
          <w:bCs/>
        </w:rPr>
        <w:t>U ______________, __.__.20</w:t>
      </w:r>
      <w:r w:rsidR="00883477">
        <w:rPr>
          <w:rFonts w:ascii="Arial" w:hAnsi="Arial" w:cs="Arial"/>
          <w:bCs/>
        </w:rPr>
        <w:t>2</w:t>
      </w:r>
      <w:r w:rsidR="003D2A1B">
        <w:rPr>
          <w:rFonts w:ascii="Arial" w:hAnsi="Arial" w:cs="Arial"/>
          <w:bCs/>
        </w:rPr>
        <w:t>5</w:t>
      </w:r>
      <w:r w:rsidRPr="00AD3B19">
        <w:rPr>
          <w:rFonts w:ascii="Arial" w:hAnsi="Arial" w:cs="Arial"/>
          <w:bCs/>
        </w:rPr>
        <w:t>.</w:t>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r>
      <w:r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A0C96" w14:textId="77777777" w:rsidR="002C337A" w:rsidRDefault="002C337A" w:rsidP="00424BED">
      <w:r>
        <w:separator/>
      </w:r>
    </w:p>
  </w:endnote>
  <w:endnote w:type="continuationSeparator" w:id="0">
    <w:p w14:paraId="048C658F" w14:textId="77777777" w:rsidR="002C337A" w:rsidRDefault="002C337A"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ECFBB" w14:textId="77777777" w:rsidR="002C337A" w:rsidRDefault="002C337A" w:rsidP="00424BED">
      <w:r>
        <w:separator/>
      </w:r>
    </w:p>
  </w:footnote>
  <w:footnote w:type="continuationSeparator" w:id="0">
    <w:p w14:paraId="67D96D0C" w14:textId="77777777" w:rsidR="002C337A" w:rsidRDefault="002C337A"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298291455">
    <w:abstractNumId w:val="13"/>
  </w:num>
  <w:num w:numId="2" w16cid:durableId="857616984">
    <w:abstractNumId w:val="11"/>
  </w:num>
  <w:num w:numId="3" w16cid:durableId="1632899529">
    <w:abstractNumId w:val="26"/>
  </w:num>
  <w:num w:numId="4" w16cid:durableId="819081335">
    <w:abstractNumId w:val="6"/>
  </w:num>
  <w:num w:numId="5" w16cid:durableId="1645697674">
    <w:abstractNumId w:val="20"/>
  </w:num>
  <w:num w:numId="6" w16cid:durableId="1478720657">
    <w:abstractNumId w:val="12"/>
  </w:num>
  <w:num w:numId="7" w16cid:durableId="1798908460">
    <w:abstractNumId w:val="17"/>
  </w:num>
  <w:num w:numId="8" w16cid:durableId="157119601">
    <w:abstractNumId w:val="2"/>
  </w:num>
  <w:num w:numId="9" w16cid:durableId="1236009214">
    <w:abstractNumId w:val="24"/>
  </w:num>
  <w:num w:numId="10" w16cid:durableId="163210624">
    <w:abstractNumId w:val="7"/>
  </w:num>
  <w:num w:numId="11" w16cid:durableId="2143304398">
    <w:abstractNumId w:val="25"/>
  </w:num>
  <w:num w:numId="12" w16cid:durableId="1032730700">
    <w:abstractNumId w:val="19"/>
  </w:num>
  <w:num w:numId="13" w16cid:durableId="1235553113">
    <w:abstractNumId w:val="4"/>
  </w:num>
  <w:num w:numId="14" w16cid:durableId="1919367910">
    <w:abstractNumId w:val="18"/>
  </w:num>
  <w:num w:numId="15" w16cid:durableId="1696228077">
    <w:abstractNumId w:val="10"/>
  </w:num>
  <w:num w:numId="16" w16cid:durableId="373962845">
    <w:abstractNumId w:val="16"/>
  </w:num>
  <w:num w:numId="17" w16cid:durableId="433281027">
    <w:abstractNumId w:val="22"/>
  </w:num>
  <w:num w:numId="18" w16cid:durableId="14962779">
    <w:abstractNumId w:val="5"/>
  </w:num>
  <w:num w:numId="19" w16cid:durableId="376778850">
    <w:abstractNumId w:val="23"/>
  </w:num>
  <w:num w:numId="20" w16cid:durableId="1332877828">
    <w:abstractNumId w:val="8"/>
  </w:num>
  <w:num w:numId="21" w16cid:durableId="1925459153">
    <w:abstractNumId w:val="14"/>
  </w:num>
  <w:num w:numId="22" w16cid:durableId="279455964">
    <w:abstractNumId w:val="15"/>
  </w:num>
  <w:num w:numId="23" w16cid:durableId="1927155595">
    <w:abstractNumId w:val="1"/>
  </w:num>
  <w:num w:numId="24" w16cid:durableId="142888721">
    <w:abstractNumId w:val="21"/>
  </w:num>
  <w:num w:numId="25" w16cid:durableId="1330405700">
    <w:abstractNumId w:val="0"/>
  </w:num>
  <w:num w:numId="26" w16cid:durableId="1913738706">
    <w:abstractNumId w:val="9"/>
  </w:num>
  <w:num w:numId="27" w16cid:durableId="1130132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007F3"/>
    <w:rsid w:val="00010E59"/>
    <w:rsid w:val="00050F9F"/>
    <w:rsid w:val="0006391E"/>
    <w:rsid w:val="000A2892"/>
    <w:rsid w:val="00122278"/>
    <w:rsid w:val="00177777"/>
    <w:rsid w:val="001B262C"/>
    <w:rsid w:val="001B6B5E"/>
    <w:rsid w:val="001D6D33"/>
    <w:rsid w:val="00212B20"/>
    <w:rsid w:val="0021332C"/>
    <w:rsid w:val="00232E2B"/>
    <w:rsid w:val="00252EE7"/>
    <w:rsid w:val="00261ACD"/>
    <w:rsid w:val="00280289"/>
    <w:rsid w:val="00284C85"/>
    <w:rsid w:val="00286074"/>
    <w:rsid w:val="002B68A6"/>
    <w:rsid w:val="002C337A"/>
    <w:rsid w:val="002E040F"/>
    <w:rsid w:val="002E09C2"/>
    <w:rsid w:val="00371C69"/>
    <w:rsid w:val="00393487"/>
    <w:rsid w:val="003C0CA3"/>
    <w:rsid w:val="003C4A02"/>
    <w:rsid w:val="003C7180"/>
    <w:rsid w:val="003C73D3"/>
    <w:rsid w:val="003D2A1B"/>
    <w:rsid w:val="003D40D7"/>
    <w:rsid w:val="00424BED"/>
    <w:rsid w:val="00425DF3"/>
    <w:rsid w:val="004365EF"/>
    <w:rsid w:val="0046323E"/>
    <w:rsid w:val="00474BE8"/>
    <w:rsid w:val="004A60E6"/>
    <w:rsid w:val="004A624A"/>
    <w:rsid w:val="004A7C92"/>
    <w:rsid w:val="0050230D"/>
    <w:rsid w:val="0054610A"/>
    <w:rsid w:val="005572EE"/>
    <w:rsid w:val="005A0A1E"/>
    <w:rsid w:val="005B3D3F"/>
    <w:rsid w:val="005B4533"/>
    <w:rsid w:val="005B5700"/>
    <w:rsid w:val="005D1F24"/>
    <w:rsid w:val="005E695F"/>
    <w:rsid w:val="006149CA"/>
    <w:rsid w:val="0064497D"/>
    <w:rsid w:val="00683861"/>
    <w:rsid w:val="006B6353"/>
    <w:rsid w:val="006B7A6A"/>
    <w:rsid w:val="007043BB"/>
    <w:rsid w:val="0071169E"/>
    <w:rsid w:val="00723FBA"/>
    <w:rsid w:val="00730C2C"/>
    <w:rsid w:val="007932B9"/>
    <w:rsid w:val="007B5030"/>
    <w:rsid w:val="007D382C"/>
    <w:rsid w:val="0082114B"/>
    <w:rsid w:val="00834A4D"/>
    <w:rsid w:val="008368BA"/>
    <w:rsid w:val="00883477"/>
    <w:rsid w:val="0088581B"/>
    <w:rsid w:val="0089678E"/>
    <w:rsid w:val="008B002E"/>
    <w:rsid w:val="008B4BAD"/>
    <w:rsid w:val="008C27F7"/>
    <w:rsid w:val="008C4C54"/>
    <w:rsid w:val="008E39AE"/>
    <w:rsid w:val="008E7A13"/>
    <w:rsid w:val="008F5FF4"/>
    <w:rsid w:val="009303F9"/>
    <w:rsid w:val="00991F40"/>
    <w:rsid w:val="00992CB8"/>
    <w:rsid w:val="009A25D2"/>
    <w:rsid w:val="009D26F6"/>
    <w:rsid w:val="009E2F40"/>
    <w:rsid w:val="00A05E7F"/>
    <w:rsid w:val="00A23021"/>
    <w:rsid w:val="00A24D27"/>
    <w:rsid w:val="00A47E9E"/>
    <w:rsid w:val="00A83BB0"/>
    <w:rsid w:val="00AB4825"/>
    <w:rsid w:val="00AB7302"/>
    <w:rsid w:val="00AF705B"/>
    <w:rsid w:val="00B0276E"/>
    <w:rsid w:val="00B26B39"/>
    <w:rsid w:val="00B43252"/>
    <w:rsid w:val="00B4468E"/>
    <w:rsid w:val="00B612C7"/>
    <w:rsid w:val="00B61922"/>
    <w:rsid w:val="00B77D44"/>
    <w:rsid w:val="00B85802"/>
    <w:rsid w:val="00BA7FB0"/>
    <w:rsid w:val="00BB1984"/>
    <w:rsid w:val="00BD1C00"/>
    <w:rsid w:val="00BD3E04"/>
    <w:rsid w:val="00BF2C9B"/>
    <w:rsid w:val="00BF4584"/>
    <w:rsid w:val="00C02B1E"/>
    <w:rsid w:val="00C26785"/>
    <w:rsid w:val="00C53399"/>
    <w:rsid w:val="00C65CBB"/>
    <w:rsid w:val="00C715BE"/>
    <w:rsid w:val="00C917EC"/>
    <w:rsid w:val="00CA2CA7"/>
    <w:rsid w:val="00CB595C"/>
    <w:rsid w:val="00CC51FC"/>
    <w:rsid w:val="00D06887"/>
    <w:rsid w:val="00D15963"/>
    <w:rsid w:val="00D648CE"/>
    <w:rsid w:val="00D863AC"/>
    <w:rsid w:val="00D94505"/>
    <w:rsid w:val="00D9569F"/>
    <w:rsid w:val="00DA0B22"/>
    <w:rsid w:val="00DA39CA"/>
    <w:rsid w:val="00DB17AC"/>
    <w:rsid w:val="00DD6B49"/>
    <w:rsid w:val="00DE1654"/>
    <w:rsid w:val="00DE4432"/>
    <w:rsid w:val="00DE46F9"/>
    <w:rsid w:val="00DE4D33"/>
    <w:rsid w:val="00E2194C"/>
    <w:rsid w:val="00E27265"/>
    <w:rsid w:val="00E32BEF"/>
    <w:rsid w:val="00E5217F"/>
    <w:rsid w:val="00E5677A"/>
    <w:rsid w:val="00E97ADA"/>
    <w:rsid w:val="00E97C41"/>
    <w:rsid w:val="00EA5763"/>
    <w:rsid w:val="00EA738B"/>
    <w:rsid w:val="00EE73B6"/>
    <w:rsid w:val="00F67CC1"/>
    <w:rsid w:val="00F71CC1"/>
    <w:rsid w:val="00FA52E0"/>
    <w:rsid w:val="00FE590E"/>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4554">
      <w:bodyDiv w:val="1"/>
      <w:marLeft w:val="0"/>
      <w:marRight w:val="0"/>
      <w:marTop w:val="0"/>
      <w:marBottom w:val="0"/>
      <w:divBdr>
        <w:top w:val="none" w:sz="0" w:space="0" w:color="auto"/>
        <w:left w:val="none" w:sz="0" w:space="0" w:color="auto"/>
        <w:bottom w:val="none" w:sz="0" w:space="0" w:color="auto"/>
        <w:right w:val="none" w:sz="0" w:space="0" w:color="auto"/>
      </w:divBdr>
    </w:div>
    <w:div w:id="804739862">
      <w:bodyDiv w:val="1"/>
      <w:marLeft w:val="0"/>
      <w:marRight w:val="0"/>
      <w:marTop w:val="0"/>
      <w:marBottom w:val="0"/>
      <w:divBdr>
        <w:top w:val="none" w:sz="0" w:space="0" w:color="auto"/>
        <w:left w:val="none" w:sz="0" w:space="0" w:color="auto"/>
        <w:bottom w:val="none" w:sz="0" w:space="0" w:color="auto"/>
        <w:right w:val="none" w:sz="0" w:space="0" w:color="auto"/>
      </w:divBdr>
    </w:div>
    <w:div w:id="133047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12</Pages>
  <Words>3404</Words>
  <Characters>19406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Marina Lavrnić Radmanović</cp:lastModifiedBy>
  <cp:revision>66</cp:revision>
  <cp:lastPrinted>2024-11-11T13:16:00Z</cp:lastPrinted>
  <dcterms:created xsi:type="dcterms:W3CDTF">2023-05-16T13:59:00Z</dcterms:created>
  <dcterms:modified xsi:type="dcterms:W3CDTF">2025-11-27T09:14:00Z</dcterms:modified>
</cp:coreProperties>
</file>