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029DB453" w:rsidR="00B43252" w:rsidRDefault="008C4C54" w:rsidP="00424BED">
      <w:pPr>
        <w:rPr>
          <w:rFonts w:ascii="Arial" w:hAnsi="Arial" w:cs="Arial"/>
        </w:rPr>
      </w:pPr>
      <w:r>
        <w:rPr>
          <w:rFonts w:ascii="Arial" w:hAnsi="Arial" w:cs="Arial"/>
        </w:rPr>
        <w:t xml:space="preserve">Broj: </w:t>
      </w:r>
      <w:r w:rsidR="003D3F7E">
        <w:rPr>
          <w:rFonts w:ascii="Arial" w:hAnsi="Arial" w:cs="Arial"/>
        </w:rPr>
        <w:t>8</w:t>
      </w:r>
      <w:r w:rsidR="005172B8">
        <w:rPr>
          <w:rFonts w:ascii="Arial" w:hAnsi="Arial" w:cs="Arial"/>
        </w:rPr>
        <w:t>4</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6259E3A1" w:rsidR="00424BED" w:rsidRDefault="00424BED" w:rsidP="00424BED">
      <w:pPr>
        <w:rPr>
          <w:rFonts w:ascii="Arial" w:hAnsi="Arial" w:cs="Arial"/>
        </w:rPr>
      </w:pPr>
      <w:r w:rsidRPr="00A34EF9">
        <w:rPr>
          <w:rFonts w:ascii="Arial" w:hAnsi="Arial" w:cs="Arial"/>
        </w:rPr>
        <w:t xml:space="preserve">Rijeka, </w:t>
      </w:r>
      <w:r w:rsidR="005C155F">
        <w:rPr>
          <w:rFonts w:ascii="Arial" w:hAnsi="Arial" w:cs="Arial"/>
        </w:rPr>
        <w:t>20</w:t>
      </w:r>
      <w:r w:rsidR="00B43252">
        <w:rPr>
          <w:rFonts w:ascii="Arial" w:hAnsi="Arial" w:cs="Arial"/>
        </w:rPr>
        <w:t>.</w:t>
      </w:r>
      <w:r w:rsidR="005C155F">
        <w:rPr>
          <w:rFonts w:ascii="Arial" w:hAnsi="Arial" w:cs="Arial"/>
        </w:rPr>
        <w:t>10</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4A4DF395"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5C155F">
        <w:rPr>
          <w:rFonts w:ascii="Arial" w:eastAsia="SimSun" w:hAnsi="Arial" w:cs="Arial"/>
          <w:lang w:eastAsia="zh-CN"/>
        </w:rPr>
        <w:t>20</w:t>
      </w:r>
      <w:r w:rsidRPr="007A4085">
        <w:rPr>
          <w:rFonts w:ascii="Arial" w:eastAsia="SimSun" w:hAnsi="Arial" w:cs="Arial"/>
          <w:lang w:eastAsia="zh-CN"/>
        </w:rPr>
        <w:t>.</w:t>
      </w:r>
      <w:r w:rsidR="005C155F">
        <w:rPr>
          <w:rFonts w:ascii="Arial" w:eastAsia="SimSun" w:hAnsi="Arial" w:cs="Arial"/>
          <w:lang w:eastAsia="zh-CN"/>
        </w:rPr>
        <w:t>10</w:t>
      </w:r>
      <w:r w:rsidR="003D3F7E">
        <w:rPr>
          <w:rFonts w:ascii="Arial" w:eastAsia="SimSun" w:hAnsi="Arial" w:cs="Arial"/>
          <w:lang w:eastAsia="zh-CN"/>
        </w:rPr>
        <w:t>.</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5F20EA5A"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3D3F7E">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5109DCE"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3D3F7E">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26409958"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3D3F7E">
        <w:rPr>
          <w:rFonts w:ascii="Arial" w:hAnsi="Arial" w:cs="Arial"/>
          <w:b w:val="0"/>
          <w:bCs w:val="0"/>
          <w:lang w:val="hr-HR"/>
        </w:rPr>
        <w:t>8</w:t>
      </w:r>
      <w:r w:rsidR="00792995">
        <w:rPr>
          <w:rFonts w:ascii="Arial" w:hAnsi="Arial" w:cs="Arial"/>
          <w:b w:val="0"/>
          <w:bCs w:val="0"/>
          <w:lang w:val="hr-HR"/>
        </w:rPr>
        <w:t>4</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22BB3660"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133D3D">
        <w:rPr>
          <w:rFonts w:ascii="Arial" w:hAnsi="Arial" w:cs="Arial"/>
          <w:b w:val="0"/>
          <w:bCs w:val="0"/>
          <w:iCs/>
        </w:rPr>
        <w:t>25.000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39E9C4A1"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D3F7E">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D46B37D" w:rsidR="00424BED" w:rsidRPr="001B6B5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133D3D">
        <w:rPr>
          <w:rFonts w:ascii="Arial" w:hAnsi="Arial" w:cs="Arial"/>
          <w:b w:val="0"/>
          <w:bCs w:val="0"/>
          <w:lang w:val="hr-HR"/>
        </w:rPr>
        <w:t>Radovi vanjskog uređenja zgrade</w:t>
      </w:r>
    </w:p>
    <w:p w14:paraId="4E870CAD" w14:textId="77777777" w:rsidR="00424BED" w:rsidRDefault="00424BED" w:rsidP="00424BED">
      <w:bookmarkStart w:id="20" w:name="_Toc344472603"/>
      <w:bookmarkStart w:id="21" w:name="_Toc353196617"/>
      <w:bookmarkStart w:id="22" w:name="_Toc370199130"/>
    </w:p>
    <w:p w14:paraId="2DFE33FF" w14:textId="3F5BC9A3"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D3F7E">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34AAAF85"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w:t>
      </w:r>
      <w:r w:rsidR="00133D3D">
        <w:rPr>
          <w:rFonts w:ascii="Arial" w:hAnsi="Arial" w:cs="Arial"/>
          <w:b w:val="0"/>
          <w:bCs w:val="0"/>
          <w:lang w:val="hr-HR"/>
        </w:rPr>
        <w:t xml:space="preserve"> NZZJZ PGŽ</w:t>
      </w:r>
    </w:p>
    <w:p w14:paraId="2AE84F56" w14:textId="42810D3F"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3D3F7E">
        <w:rPr>
          <w:rFonts w:ascii="Arial" w:hAnsi="Arial" w:cs="Arial"/>
          <w:b w:val="0"/>
          <w:bCs w:val="0"/>
          <w:lang w:val="hr-HR"/>
        </w:rPr>
        <w:t>do 31.12.2025.</w:t>
      </w:r>
    </w:p>
    <w:p w14:paraId="697B20E4" w14:textId="77777777" w:rsidR="00424BED" w:rsidRPr="00DC5372" w:rsidRDefault="00424BED" w:rsidP="00424BED">
      <w:pPr>
        <w:jc w:val="both"/>
        <w:rPr>
          <w:rFonts w:ascii="Arial" w:hAnsi="Arial" w:cs="Arial"/>
        </w:rPr>
      </w:pPr>
    </w:p>
    <w:p w14:paraId="13FB824A" w14:textId="47FF4AA0"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133D3D">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r w:rsidR="003D3F7E">
        <w:rPr>
          <w:rFonts w:ascii="Arial" w:hAnsi="Arial" w:cs="Arial"/>
          <w:b w:val="0"/>
          <w:bCs w:val="0"/>
        </w:rPr>
        <w:t xml:space="preserve"> </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w:t>
      </w:r>
      <w:r w:rsidRPr="00523510">
        <w:rPr>
          <w:rFonts w:ascii="Arial" w:hAnsi="Arial" w:cs="Arial"/>
        </w:rPr>
        <w:lastRenderedPageBreak/>
        <w:t>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lastRenderedPageBreak/>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lastRenderedPageBreak/>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E959353" w:rsidR="00424BED" w:rsidRPr="00283957" w:rsidRDefault="00424BED" w:rsidP="00424BED">
      <w:pPr>
        <w:ind w:left="708"/>
        <w:jc w:val="center"/>
        <w:rPr>
          <w:rFonts w:ascii="Arial" w:hAnsi="Arial" w:cs="Arial"/>
          <w:b/>
          <w:bCs/>
          <w:iCs/>
        </w:rPr>
      </w:pPr>
      <w:r w:rsidRPr="00283957">
        <w:rPr>
          <w:rFonts w:ascii="Arial" w:hAnsi="Arial" w:cs="Arial"/>
          <w:b/>
          <w:bCs/>
          <w:iCs/>
        </w:rPr>
        <w:t>„</w:t>
      </w:r>
      <w:r w:rsidR="00133D3D">
        <w:rPr>
          <w:rFonts w:ascii="Arial" w:hAnsi="Arial" w:cs="Arial"/>
          <w:b/>
          <w:bCs/>
          <w:iCs/>
        </w:rPr>
        <w:t>Radovi vanjskog uređenja zgrade</w:t>
      </w:r>
      <w:r w:rsidR="002B68A6">
        <w:rPr>
          <w:rFonts w:ascii="Arial" w:hAnsi="Arial" w:cs="Arial"/>
          <w:b/>
          <w:bCs/>
          <w:iCs/>
        </w:rPr>
        <w:t>,</w:t>
      </w:r>
    </w:p>
    <w:p w14:paraId="744002EC" w14:textId="2E4023EE"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3D3F7E">
        <w:rPr>
          <w:rFonts w:ascii="Arial" w:hAnsi="Arial" w:cs="Arial"/>
          <w:b/>
          <w:iCs/>
        </w:rPr>
        <w:t>8</w:t>
      </w:r>
      <w:r w:rsidR="00792995">
        <w:rPr>
          <w:rFonts w:ascii="Arial" w:hAnsi="Arial" w:cs="Arial"/>
          <w:b/>
          <w:iCs/>
        </w:rPr>
        <w:t>4</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045757E4"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5C155F">
        <w:rPr>
          <w:rFonts w:ascii="Arial" w:hAnsi="Arial" w:cs="Arial"/>
          <w:b/>
          <w:bCs/>
        </w:rPr>
        <w:t>27</w:t>
      </w:r>
      <w:r w:rsidR="002B68A6">
        <w:rPr>
          <w:rFonts w:ascii="Arial" w:hAnsi="Arial" w:cs="Arial"/>
          <w:b/>
          <w:bCs/>
        </w:rPr>
        <w:t>.</w:t>
      </w:r>
      <w:r w:rsidR="005C155F">
        <w:rPr>
          <w:rFonts w:ascii="Arial" w:hAnsi="Arial" w:cs="Arial"/>
          <w:b/>
          <w:bCs/>
        </w:rPr>
        <w:t>10</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5C155F">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33D3D"/>
    <w:rsid w:val="0017662C"/>
    <w:rsid w:val="001B262C"/>
    <w:rsid w:val="001B6B5E"/>
    <w:rsid w:val="001D6D33"/>
    <w:rsid w:val="0021332C"/>
    <w:rsid w:val="00261ACD"/>
    <w:rsid w:val="00284C85"/>
    <w:rsid w:val="00286074"/>
    <w:rsid w:val="002B68A6"/>
    <w:rsid w:val="002E040F"/>
    <w:rsid w:val="002E09C2"/>
    <w:rsid w:val="00371C69"/>
    <w:rsid w:val="003A0E20"/>
    <w:rsid w:val="003C0CA3"/>
    <w:rsid w:val="003C4A02"/>
    <w:rsid w:val="003C7180"/>
    <w:rsid w:val="003C73D3"/>
    <w:rsid w:val="003D3F7E"/>
    <w:rsid w:val="00424BED"/>
    <w:rsid w:val="00425DF3"/>
    <w:rsid w:val="004365EF"/>
    <w:rsid w:val="00462D39"/>
    <w:rsid w:val="0046323E"/>
    <w:rsid w:val="004775E9"/>
    <w:rsid w:val="004816D2"/>
    <w:rsid w:val="004A60E6"/>
    <w:rsid w:val="004A624A"/>
    <w:rsid w:val="004A7C92"/>
    <w:rsid w:val="0050230D"/>
    <w:rsid w:val="005172B8"/>
    <w:rsid w:val="00570D1C"/>
    <w:rsid w:val="005A0A1E"/>
    <w:rsid w:val="005B4533"/>
    <w:rsid w:val="005B5700"/>
    <w:rsid w:val="005C155F"/>
    <w:rsid w:val="005D1F24"/>
    <w:rsid w:val="005E695F"/>
    <w:rsid w:val="005F1D43"/>
    <w:rsid w:val="00613804"/>
    <w:rsid w:val="006149CA"/>
    <w:rsid w:val="00636CF2"/>
    <w:rsid w:val="006A079F"/>
    <w:rsid w:val="006B6353"/>
    <w:rsid w:val="006B7A6A"/>
    <w:rsid w:val="00723FBA"/>
    <w:rsid w:val="0076786B"/>
    <w:rsid w:val="007820FF"/>
    <w:rsid w:val="00792995"/>
    <w:rsid w:val="007A4085"/>
    <w:rsid w:val="00834A4D"/>
    <w:rsid w:val="008368BA"/>
    <w:rsid w:val="00883477"/>
    <w:rsid w:val="0088581B"/>
    <w:rsid w:val="008B002E"/>
    <w:rsid w:val="008B4BAD"/>
    <w:rsid w:val="008C4C54"/>
    <w:rsid w:val="008F5FF4"/>
    <w:rsid w:val="009223AA"/>
    <w:rsid w:val="009303F9"/>
    <w:rsid w:val="00982F38"/>
    <w:rsid w:val="00991F40"/>
    <w:rsid w:val="009A25D2"/>
    <w:rsid w:val="00A23021"/>
    <w:rsid w:val="00A24D27"/>
    <w:rsid w:val="00A47E9E"/>
    <w:rsid w:val="00A83BB0"/>
    <w:rsid w:val="00AE7AE1"/>
    <w:rsid w:val="00B0276E"/>
    <w:rsid w:val="00B26B39"/>
    <w:rsid w:val="00B43252"/>
    <w:rsid w:val="00BA7FB0"/>
    <w:rsid w:val="00BB198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5A7D"/>
    <w:rsid w:val="00EA5763"/>
    <w:rsid w:val="00EA738B"/>
    <w:rsid w:val="00EE73B6"/>
    <w:rsid w:val="00F02BD2"/>
    <w:rsid w:val="00F71CC1"/>
    <w:rsid w:val="00FD151A"/>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41</cp:revision>
  <cp:lastPrinted>2023-11-10T09:46:00Z</cp:lastPrinted>
  <dcterms:created xsi:type="dcterms:W3CDTF">2023-05-16T13:59:00Z</dcterms:created>
  <dcterms:modified xsi:type="dcterms:W3CDTF">2025-10-27T06:43:00Z</dcterms:modified>
</cp:coreProperties>
</file>